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6716" w14:textId="3F609491" w:rsidR="00412E63" w:rsidRPr="00C851C6" w:rsidRDefault="007D16C4" w:rsidP="00412E63">
      <w:pPr>
        <w:spacing w:after="0"/>
        <w:jc w:val="center"/>
        <w:rPr>
          <w:rFonts w:ascii="Times New Roman" w:hAnsi="Times New Roman" w:cs="Times New Roman"/>
          <w:b/>
          <w:bCs/>
          <w:sz w:val="28"/>
          <w:szCs w:val="28"/>
          <w:lang w:val="uz-Latn-UZ"/>
        </w:rPr>
      </w:pPr>
      <w:bookmarkStart w:id="0" w:name="_Hlk210741077"/>
      <w:bookmarkStart w:id="1" w:name="_Hlk234838638"/>
      <w:r w:rsidRPr="007D16C4">
        <w:rPr>
          <w:rFonts w:ascii="Times New Roman" w:hAnsi="Times New Roman" w:cs="Times New Roman"/>
          <w:b/>
          <w:bCs/>
          <w:sz w:val="28"/>
          <w:szCs w:val="28"/>
          <w:lang w:val="uz-Latn-UZ"/>
        </w:rPr>
        <w:t>Analytical report on appeals received from individuals and legal entities by KDB Bank Uzbekistan JSC and their consideration during the second quarter of 2026</w:t>
      </w:r>
    </w:p>
    <w:p w14:paraId="5DE02810" w14:textId="02B16EB2" w:rsidR="00412E63" w:rsidRPr="00C851C6" w:rsidRDefault="00412E63" w:rsidP="000B3006">
      <w:pPr>
        <w:spacing w:before="240" w:after="240" w:line="257" w:lineRule="auto"/>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 xml:space="preserve">This report has been prepared for consideration by the Management Board of JSC “KDB Bank Uzbekistan” (hereinafter referred to as the “Bank”) at its regular meeting for the purpose of reviewing the Bank’s handling of appeals, discussing adverse issues, systemic deficiencies and specific risks identified therein, and determining measures aimed at eliminating systemic shortcomings that may lead to violations of consumer rights. </w:t>
      </w:r>
    </w:p>
    <w:p w14:paraId="0A3CE276" w14:textId="547AE8C3" w:rsidR="00412E63" w:rsidRPr="00C851C6" w:rsidRDefault="00412E63" w:rsidP="00642AAF">
      <w:pPr>
        <w:pStyle w:val="ListParagraph"/>
        <w:numPr>
          <w:ilvl w:val="0"/>
          <w:numId w:val="8"/>
        </w:numPr>
        <w:ind w:left="426"/>
        <w:rPr>
          <w:rFonts w:ascii="Times New Roman" w:hAnsi="Times New Roman" w:cs="Times New Roman"/>
          <w:b/>
          <w:bCs/>
          <w:i/>
          <w:iCs/>
          <w:color w:val="2F5496" w:themeColor="accent1" w:themeShade="BF"/>
          <w:sz w:val="28"/>
          <w:szCs w:val="28"/>
          <w:lang w:val="uz-Latn-UZ"/>
        </w:rPr>
      </w:pPr>
      <w:r w:rsidRPr="00C851C6">
        <w:rPr>
          <w:rFonts w:ascii="Times New Roman" w:hAnsi="Times New Roman" w:cs="Times New Roman"/>
          <w:b/>
          <w:bCs/>
          <w:i/>
          <w:iCs/>
          <w:color w:val="2F5496" w:themeColor="accent1" w:themeShade="BF"/>
          <w:sz w:val="28"/>
          <w:szCs w:val="28"/>
          <w:lang w:val="uz-Latn-UZ"/>
        </w:rPr>
        <w:t>Statistical Information</w:t>
      </w:r>
    </w:p>
    <w:p w14:paraId="5CC87287" w14:textId="322C6542"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Tashkent City                 </w:t>
      </w:r>
      <w:r w:rsidRPr="00C851C6">
        <w:rPr>
          <w:rFonts w:ascii="Times New Roman" w:eastAsia="Times New Roman" w:hAnsi="Times New Roman" w:cs="Times New Roman"/>
          <w:color w:val="ED7D31" w:themeColor="accent2"/>
          <w:lang w:val="uz-Latn-UZ"/>
        </w:rPr>
        <w:t>████████████████████████████████████</w:t>
      </w:r>
      <w:r w:rsidRPr="00C851C6">
        <w:rPr>
          <w:rFonts w:ascii="Times New Roman" w:eastAsia="Times New Roman" w:hAnsi="Times New Roman" w:cs="Times New Roman"/>
          <w:lang w:val="uz-Latn-UZ"/>
        </w:rPr>
        <w:t xml:space="preserve"> 23 (62%) ● </w:t>
      </w:r>
    </w:p>
    <w:p w14:paraId="10DE7E96" w14:textId="2FE653DF"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Tashkent Region            </w:t>
      </w:r>
      <w:r w:rsidRPr="00C851C6">
        <w:rPr>
          <w:rFonts w:ascii="Times New Roman" w:eastAsia="Times New Roman" w:hAnsi="Times New Roman" w:cs="Times New Roman"/>
          <w:color w:val="FFD966" w:themeColor="accent4" w:themeTint="99"/>
          <w:lang w:val="uz-Latn-UZ"/>
        </w:rPr>
        <w:t>████████</w:t>
      </w:r>
      <w:r w:rsidRPr="00C851C6">
        <w:rPr>
          <w:rFonts w:ascii="Times New Roman" w:eastAsia="Times New Roman" w:hAnsi="Times New Roman" w:cs="Times New Roman"/>
          <w:lang w:val="uz-Latn-UZ"/>
        </w:rPr>
        <w:t xml:space="preserve">░░░░░░░░░░░░░░░░░░░░░░░░░░░░  5 (14%) ● </w:t>
      </w:r>
    </w:p>
    <w:p w14:paraId="42AAF64A" w14:textId="6DF37542"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Kashkadarya Region      </w:t>
      </w:r>
      <w:r w:rsidRPr="00C851C6">
        <w:rPr>
          <w:rFonts w:ascii="Times New Roman" w:eastAsia="Times New Roman" w:hAnsi="Times New Roman" w:cs="Times New Roman"/>
          <w:color w:val="FFE599" w:themeColor="accent4" w:themeTint="66"/>
          <w:lang w:val="uz-Latn-UZ"/>
        </w:rPr>
        <w:t>█████</w:t>
      </w:r>
      <w:r w:rsidRPr="00C851C6">
        <w:rPr>
          <w:rFonts w:ascii="Times New Roman" w:eastAsia="Times New Roman" w:hAnsi="Times New Roman" w:cs="Times New Roman"/>
          <w:lang w:val="uz-Latn-UZ"/>
        </w:rPr>
        <w:t xml:space="preserve">░░░░░░░░░░░░░░░░░░░░░░░░░░░░░░░  3 (8%)  ● </w:t>
      </w:r>
    </w:p>
    <w:p w14:paraId="33B75EC2" w14:textId="3ED01EAC"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Surkhandarya Region     </w:t>
      </w:r>
      <w:r w:rsidRPr="00C851C6">
        <w:rPr>
          <w:rFonts w:ascii="Times New Roman" w:eastAsia="Times New Roman" w:hAnsi="Times New Roman" w:cs="Times New Roman"/>
          <w:color w:val="FFF2CC" w:themeColor="accent4" w:themeTint="33"/>
          <w:lang w:val="uz-Latn-UZ"/>
        </w:rPr>
        <w:t>███</w:t>
      </w:r>
      <w:r w:rsidRPr="00C851C6">
        <w:rPr>
          <w:rFonts w:ascii="Times New Roman" w:eastAsia="Times New Roman" w:hAnsi="Times New Roman" w:cs="Times New Roman"/>
          <w:lang w:val="uz-Latn-UZ"/>
        </w:rPr>
        <w:t xml:space="preserve">░░░░░░░░░░░░░░░░░░░░░░░░░░░░░░░░░  2 (5%)  ● </w:t>
      </w:r>
    </w:p>
    <w:p w14:paraId="1CBB0535" w14:textId="46CE2879"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Khorezm Region            </w:t>
      </w:r>
      <w:r w:rsidRPr="00C851C6">
        <w:rPr>
          <w:rFonts w:ascii="Times New Roman" w:eastAsia="Times New Roman" w:hAnsi="Times New Roman" w:cs="Times New Roman"/>
          <w:color w:val="FFFF00"/>
          <w:lang w:val="uz-Latn-UZ"/>
        </w:rPr>
        <w:t>██</w:t>
      </w:r>
      <w:r w:rsidRPr="00C851C6">
        <w:rPr>
          <w:rFonts w:ascii="Times New Roman" w:eastAsia="Times New Roman" w:hAnsi="Times New Roman" w:cs="Times New Roman"/>
          <w:lang w:val="uz-Latn-UZ"/>
        </w:rPr>
        <w:t xml:space="preserve">░░░░░░░░░░░░░░░░░░░░░░░░░░░░░░░░░░  1 (3%)  ● </w:t>
      </w:r>
    </w:p>
    <w:p w14:paraId="4DC375BB" w14:textId="36571BB1"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Andijan Region              </w:t>
      </w:r>
      <w:r w:rsidRPr="00C851C6">
        <w:rPr>
          <w:rFonts w:ascii="Times New Roman" w:eastAsia="Times New Roman" w:hAnsi="Times New Roman" w:cs="Times New Roman"/>
          <w:color w:val="C5E0B3" w:themeColor="accent6" w:themeTint="66"/>
          <w:lang w:val="uz-Latn-UZ"/>
        </w:rPr>
        <w:t>██</w:t>
      </w:r>
      <w:r w:rsidRPr="00C851C6">
        <w:rPr>
          <w:rFonts w:ascii="Times New Roman" w:eastAsia="Times New Roman" w:hAnsi="Times New Roman" w:cs="Times New Roman"/>
          <w:lang w:val="uz-Latn-UZ"/>
        </w:rPr>
        <w:t xml:space="preserve">░░░░░░░░░░░░░░░░░░░░░░░░░░░░░░░░░░  1 (3%)  ● </w:t>
      </w:r>
    </w:p>
    <w:p w14:paraId="5E88589B" w14:textId="6C35673F"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Bukhara Region             </w:t>
      </w:r>
      <w:r w:rsidRPr="00C851C6">
        <w:rPr>
          <w:rFonts w:ascii="Times New Roman" w:eastAsia="Times New Roman" w:hAnsi="Times New Roman" w:cs="Times New Roman"/>
          <w:color w:val="A8D08D" w:themeColor="accent6" w:themeTint="99"/>
          <w:lang w:val="uz-Latn-UZ"/>
        </w:rPr>
        <w:t>██</w:t>
      </w:r>
      <w:r w:rsidRPr="00C851C6">
        <w:rPr>
          <w:rFonts w:ascii="Times New Roman" w:eastAsia="Times New Roman" w:hAnsi="Times New Roman" w:cs="Times New Roman"/>
          <w:lang w:val="uz-Latn-UZ"/>
        </w:rPr>
        <w:t xml:space="preserve">░░░░░░░░░░░░░░░░░░░░░░░░░░░░░░░░░░  1 (3%)  ● </w:t>
      </w:r>
    </w:p>
    <w:p w14:paraId="2FBC0BB3" w14:textId="57C6C6A9"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 xml:space="preserve">Rep.of Karakalpakstan  </w:t>
      </w:r>
      <w:r w:rsidRPr="00C851C6">
        <w:rPr>
          <w:rFonts w:ascii="Times New Roman" w:eastAsia="Times New Roman" w:hAnsi="Times New Roman" w:cs="Times New Roman"/>
          <w:color w:val="538135" w:themeColor="accent6" w:themeShade="BF"/>
          <w:lang w:val="uz-Latn-UZ"/>
        </w:rPr>
        <w:t>██</w:t>
      </w:r>
      <w:r w:rsidRPr="00C851C6">
        <w:rPr>
          <w:rFonts w:ascii="Times New Roman" w:eastAsia="Times New Roman" w:hAnsi="Times New Roman" w:cs="Times New Roman"/>
          <w:lang w:val="uz-Latn-UZ"/>
        </w:rPr>
        <w:t xml:space="preserve">░░░░░░░░░░░░░░░░░░░░░░░░░░░░░░░░░░  1 (3%)  ● </w:t>
      </w:r>
    </w:p>
    <w:p w14:paraId="5C19A040" w14:textId="6EA770CC"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lang w:val="uz-Latn-UZ"/>
        </w:rPr>
        <w:t>────────────────────────────────────────────────────────────</w:t>
      </w:r>
    </w:p>
    <w:p w14:paraId="5E25A95D" w14:textId="502E15DC" w:rsidR="00412E63" w:rsidRPr="00C851C6" w:rsidRDefault="00412E63" w:rsidP="00412E63">
      <w:pPr>
        <w:rPr>
          <w:rFonts w:ascii="Times New Roman" w:eastAsia="Times New Roman" w:hAnsi="Times New Roman" w:cs="Times New Roman"/>
          <w:lang w:val="uz-Latn-UZ"/>
        </w:rPr>
      </w:pPr>
      <w:r w:rsidRPr="00C851C6">
        <w:rPr>
          <w:rFonts w:ascii="Segoe UI Emoji" w:eastAsia="Times New Roman" w:hAnsi="Segoe UI Emoji" w:cs="Segoe UI Emoji"/>
          <w:lang w:val="uz-Latn-UZ"/>
        </w:rPr>
        <w:t>🏢</w:t>
      </w:r>
      <w:r w:rsidRPr="00C851C6">
        <w:rPr>
          <w:rFonts w:ascii="Times New Roman" w:eastAsia="Times New Roman" w:hAnsi="Times New Roman" w:cs="Times New Roman"/>
          <w:lang w:val="uz-Latn-UZ"/>
        </w:rPr>
        <w:t xml:space="preserve"> Legal entities — 8 appeals</w:t>
      </w:r>
    </w:p>
    <w:p w14:paraId="65DF4720" w14:textId="7980D2FF" w:rsidR="00412E63" w:rsidRPr="00C851C6" w:rsidRDefault="00412E63" w:rsidP="00412E63">
      <w:pPr>
        <w:rPr>
          <w:rFonts w:ascii="Times New Roman" w:eastAsia="Times New Roman" w:hAnsi="Times New Roman" w:cs="Times New Roman"/>
          <w:lang w:val="uz-Latn-UZ"/>
        </w:rPr>
      </w:pPr>
      <w:r w:rsidRPr="00C851C6">
        <w:rPr>
          <w:rFonts w:ascii="Times New Roman" w:eastAsia="Times New Roman" w:hAnsi="Times New Roman" w:cs="Times New Roman"/>
          <w:noProof/>
          <w:lang w:val="uz-Latn-UZ"/>
        </w:rPr>
        <w:drawing>
          <wp:anchor distT="0" distB="0" distL="114300" distR="114300" simplePos="0" relativeHeight="251659264" behindDoc="1" locked="0" layoutInCell="1" allowOverlap="1" wp14:anchorId="68C1426F" wp14:editId="10198973">
            <wp:simplePos x="0" y="0"/>
            <wp:positionH relativeFrom="margin">
              <wp:align>center</wp:align>
            </wp:positionH>
            <wp:positionV relativeFrom="paragraph">
              <wp:posOffset>295380</wp:posOffset>
            </wp:positionV>
            <wp:extent cx="5486400" cy="3200400"/>
            <wp:effectExtent l="0" t="0" r="0" b="0"/>
            <wp:wrapTight wrapText="bothSides">
              <wp:wrapPolygon edited="0">
                <wp:start x="0" y="0"/>
                <wp:lineTo x="0" y="21471"/>
                <wp:lineTo x="21525" y="21471"/>
                <wp:lineTo x="2152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C851C6">
        <w:rPr>
          <w:rFonts w:ascii="Segoe UI Emoji" w:eastAsia="Times New Roman" w:hAnsi="Segoe UI Emoji" w:cs="Segoe UI Emoji"/>
          <w:lang w:val="uz-Latn-UZ"/>
        </w:rPr>
        <w:t>👤</w:t>
      </w:r>
      <w:r w:rsidRPr="00C851C6">
        <w:rPr>
          <w:rFonts w:ascii="Times New Roman" w:eastAsia="Times New Roman" w:hAnsi="Times New Roman" w:cs="Times New Roman"/>
          <w:lang w:val="uz-Latn-UZ"/>
        </w:rPr>
        <w:t xml:space="preserve"> Individuals— 29 appeals</w:t>
      </w:r>
    </w:p>
    <w:p w14:paraId="2300A8DD" w14:textId="6103BE63" w:rsidR="00512F28" w:rsidRPr="00C851C6" w:rsidRDefault="003C4C13" w:rsidP="00412E63">
      <w:pPr>
        <w:rPr>
          <w:rFonts w:ascii="Times New Roman" w:hAnsi="Times New Roman" w:cs="Times New Roman"/>
          <w:sz w:val="24"/>
          <w:szCs w:val="24"/>
          <w:lang w:val="uz-Latn-UZ"/>
        </w:rPr>
      </w:pPr>
      <w:bookmarkStart w:id="2" w:name="_Hlk234827653"/>
      <w:r w:rsidRPr="003C4C13">
        <w:rPr>
          <w:rFonts w:ascii="Times New Roman" w:hAnsi="Times New Roman" w:cs="Times New Roman"/>
          <w:sz w:val="24"/>
          <w:szCs w:val="24"/>
          <w:lang w:val="uz-Latn-UZ"/>
        </w:rPr>
        <w:t xml:space="preserve">During the Second Quarter of 2026, </w:t>
      </w:r>
      <w:r w:rsidRPr="00C851C6">
        <w:rPr>
          <w:rFonts w:ascii="Times New Roman" w:hAnsi="Times New Roman" w:cs="Times New Roman"/>
          <w:sz w:val="24"/>
          <w:szCs w:val="24"/>
          <w:lang w:val="uz-Latn-UZ"/>
        </w:rPr>
        <w:t xml:space="preserve">by </w:t>
      </w:r>
      <w:r w:rsidR="00512F28" w:rsidRPr="00C851C6">
        <w:rPr>
          <w:rFonts w:ascii="Times New Roman" w:hAnsi="Times New Roman" w:cs="Times New Roman"/>
          <w:sz w:val="24"/>
          <w:szCs w:val="24"/>
          <w:lang w:val="uz-Latn-UZ"/>
        </w:rPr>
        <w:t>type, Bank employees classified 25 appeals as applications and 12 as complaints.</w:t>
      </w:r>
    </w:p>
    <w:p w14:paraId="1AC4F875" w14:textId="77777777" w:rsidR="00512F28" w:rsidRPr="00C851C6" w:rsidRDefault="00512F28" w:rsidP="00412E63">
      <w:pPr>
        <w:rPr>
          <w:rFonts w:ascii="Times New Roman" w:hAnsi="Times New Roman" w:cs="Times New Roman"/>
          <w:sz w:val="24"/>
          <w:szCs w:val="24"/>
          <w:lang w:val="uz-Latn-UZ"/>
        </w:rPr>
      </w:pPr>
    </w:p>
    <w:p w14:paraId="5CCD8ABF" w14:textId="1FC01545" w:rsidR="00412E63" w:rsidRPr="00C851C6" w:rsidRDefault="00512F28" w:rsidP="00642AAF">
      <w:pPr>
        <w:pStyle w:val="ListParagraph"/>
        <w:numPr>
          <w:ilvl w:val="0"/>
          <w:numId w:val="8"/>
        </w:numPr>
        <w:ind w:left="426"/>
        <w:rPr>
          <w:rFonts w:ascii="Times New Roman" w:hAnsi="Times New Roman" w:cs="Times New Roman"/>
          <w:b/>
          <w:bCs/>
          <w:i/>
          <w:iCs/>
          <w:color w:val="2F5496" w:themeColor="accent1" w:themeShade="BF"/>
          <w:sz w:val="28"/>
          <w:szCs w:val="28"/>
          <w:lang w:val="uz-Latn-UZ"/>
        </w:rPr>
      </w:pPr>
      <w:r w:rsidRPr="00C851C6">
        <w:rPr>
          <w:rFonts w:ascii="Times New Roman" w:hAnsi="Times New Roman" w:cs="Times New Roman"/>
          <w:b/>
          <w:bCs/>
          <w:i/>
          <w:iCs/>
          <w:color w:val="2F5496" w:themeColor="accent1" w:themeShade="BF"/>
          <w:sz w:val="28"/>
          <w:szCs w:val="28"/>
          <w:lang w:val="uz-Latn-UZ"/>
        </w:rPr>
        <w:t>Summary of Issues Raised in the Appeals</w:t>
      </w:r>
    </w:p>
    <w:p w14:paraId="7305CB68" w14:textId="3D4962DD" w:rsidR="00C83448" w:rsidRPr="00C83448" w:rsidRDefault="00C83448" w:rsidP="00412E63">
      <w:pPr>
        <w:spacing w:after="120"/>
        <w:jc w:val="both"/>
        <w:rPr>
          <w:rFonts w:ascii="Times New Roman" w:hAnsi="Times New Roman" w:cs="Times New Roman"/>
          <w:sz w:val="24"/>
          <w:szCs w:val="24"/>
          <w:lang w:val="uz-Latn-UZ"/>
        </w:rPr>
      </w:pPr>
      <w:r w:rsidRPr="00C83448">
        <w:rPr>
          <w:rFonts w:ascii="Times New Roman" w:hAnsi="Times New Roman" w:cs="Times New Roman"/>
          <w:sz w:val="24"/>
          <w:szCs w:val="24"/>
          <w:lang w:val="uz-Latn-UZ"/>
        </w:rPr>
        <w:lastRenderedPageBreak/>
        <w:t>As mentioned in the table above, the bank has received appeals on various topics, and short comments on their content will be covered below.</w:t>
      </w:r>
    </w:p>
    <w:p w14:paraId="32BED8FC" w14:textId="0FD82B67" w:rsidR="00412E63" w:rsidRPr="00C851C6" w:rsidRDefault="00412E63" w:rsidP="00412E63">
      <w:pPr>
        <w:spacing w:after="120"/>
        <w:jc w:val="both"/>
        <w:rPr>
          <w:rFonts w:ascii="Times New Roman" w:hAnsi="Times New Roman" w:cs="Times New Roman"/>
          <w:b/>
          <w:bCs/>
          <w:sz w:val="24"/>
          <w:szCs w:val="24"/>
          <w:lang w:val="uz-Latn-UZ"/>
        </w:rPr>
      </w:pPr>
      <w:r w:rsidRPr="00C851C6">
        <w:rPr>
          <w:rFonts w:ascii="Times New Roman" w:hAnsi="Times New Roman" w:cs="Times New Roman"/>
          <w:b/>
          <w:bCs/>
          <w:sz w:val="24"/>
          <w:szCs w:val="24"/>
          <w:lang w:val="uz-Latn-UZ"/>
        </w:rPr>
        <w:t xml:space="preserve">1. </w:t>
      </w:r>
      <w:r w:rsidR="00512F28" w:rsidRPr="00C851C6">
        <w:rPr>
          <w:rFonts w:ascii="Times New Roman" w:hAnsi="Times New Roman" w:cs="Times New Roman"/>
          <w:b/>
          <w:bCs/>
          <w:sz w:val="24"/>
          <w:szCs w:val="24"/>
          <w:lang w:val="uz-Latn-UZ"/>
        </w:rPr>
        <w:t>Payment Systems and Cashless Settlements</w:t>
      </w:r>
    </w:p>
    <w:p w14:paraId="7B9ADD64" w14:textId="14B23075" w:rsidR="00512F28" w:rsidRPr="00C851C6" w:rsidRDefault="00512F28"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An applicant requested an official clarification from the Central Bank regarding whether commercial banks are entitled to charge commissions for transfers related to the accumulative pension system (INPS). Reference was made to the relevant Presidential Decree and the Law of the Republic of Uzbekistan “On the Accumulative Pension Provision of Citizens”, raising the issue of whether such payments constitute mandatory payments. The applicant requested a response directly from the Central Bank as the competent regulatory authority.</w:t>
      </w:r>
    </w:p>
    <w:p w14:paraId="2B7BF891" w14:textId="634CE9A0" w:rsidR="00512F28" w:rsidRPr="00C851C6" w:rsidRDefault="00412E63" w:rsidP="00412E63">
      <w:pPr>
        <w:spacing w:after="120"/>
        <w:jc w:val="both"/>
        <w:rPr>
          <w:rFonts w:ascii="Times New Roman" w:hAnsi="Times New Roman" w:cs="Times New Roman"/>
          <w:b/>
          <w:bCs/>
          <w:sz w:val="24"/>
          <w:szCs w:val="24"/>
          <w:lang w:val="uz-Latn-UZ"/>
        </w:rPr>
      </w:pPr>
      <w:r w:rsidRPr="00C851C6">
        <w:rPr>
          <w:rFonts w:ascii="Times New Roman" w:hAnsi="Times New Roman" w:cs="Times New Roman"/>
          <w:b/>
          <w:bCs/>
          <w:sz w:val="24"/>
          <w:szCs w:val="24"/>
          <w:lang w:val="uz-Latn-UZ"/>
        </w:rPr>
        <w:t xml:space="preserve">2. </w:t>
      </w:r>
      <w:r w:rsidR="00512F28" w:rsidRPr="00C851C6">
        <w:rPr>
          <w:rFonts w:ascii="Times New Roman" w:hAnsi="Times New Roman" w:cs="Times New Roman"/>
          <w:b/>
          <w:bCs/>
          <w:sz w:val="24"/>
          <w:szCs w:val="24"/>
          <w:lang w:val="uz-Latn-UZ"/>
        </w:rPr>
        <w:t>Bank Deposits and Other Deposit Transactions</w:t>
      </w:r>
    </w:p>
    <w:p w14:paraId="2BC9EBE0" w14:textId="2D52F9FB" w:rsidR="00512F28" w:rsidRPr="00C851C6" w:rsidRDefault="00512F28"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An applicant sought assistance in submitting inquiries to banks in Uzbekistan to determine whether a deceased relative, Mr. Pavel Yugay, maintained any accounts, including foreign currency accounts. The appeal noted that the relative passed away on 16 December 2023 and requested assistance in obtaining information on any accounts held in his name.</w:t>
      </w:r>
    </w:p>
    <w:p w14:paraId="03079EF1" w14:textId="28403049" w:rsidR="00412E63" w:rsidRPr="00C851C6" w:rsidRDefault="00412E63" w:rsidP="00412E63">
      <w:pPr>
        <w:spacing w:after="120"/>
        <w:jc w:val="both"/>
        <w:rPr>
          <w:rFonts w:ascii="Times New Roman" w:hAnsi="Times New Roman" w:cs="Times New Roman"/>
          <w:b/>
          <w:bCs/>
          <w:sz w:val="24"/>
          <w:szCs w:val="24"/>
          <w:lang w:val="uz-Latn-UZ"/>
        </w:rPr>
      </w:pPr>
      <w:r w:rsidRPr="00C851C6">
        <w:rPr>
          <w:rFonts w:ascii="Times New Roman" w:hAnsi="Times New Roman" w:cs="Times New Roman"/>
          <w:b/>
          <w:bCs/>
          <w:sz w:val="24"/>
          <w:szCs w:val="24"/>
          <w:lang w:val="uz-Latn-UZ"/>
        </w:rPr>
        <w:t xml:space="preserve">3. </w:t>
      </w:r>
      <w:bookmarkEnd w:id="0"/>
      <w:r w:rsidR="00512F28" w:rsidRPr="00C851C6">
        <w:rPr>
          <w:rFonts w:ascii="Times New Roman" w:hAnsi="Times New Roman" w:cs="Times New Roman"/>
          <w:b/>
          <w:bCs/>
          <w:sz w:val="24"/>
          <w:szCs w:val="24"/>
          <w:lang w:val="uz-Latn-UZ"/>
        </w:rPr>
        <w:t>Loans and Credit Operations</w:t>
      </w:r>
    </w:p>
    <w:p w14:paraId="438EF399" w14:textId="18AB77FE" w:rsidR="00512F28" w:rsidRPr="00C851C6" w:rsidRDefault="00512F28"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Appeals in this category concerned issues arising from banking services and credit relationships, including unauthorized loans, technical and tariff-related issues in loan repayment, and requests for assistance in restoring rights allegedly affected by the actions of state authorities or court decisions.</w:t>
      </w:r>
    </w:p>
    <w:p w14:paraId="2005FB79" w14:textId="3A9F3771" w:rsidR="00412E63" w:rsidRPr="00C851C6" w:rsidRDefault="00412E63" w:rsidP="00412E63">
      <w:pPr>
        <w:spacing w:after="120"/>
        <w:jc w:val="both"/>
        <w:rPr>
          <w:rFonts w:ascii="Times New Roman" w:hAnsi="Times New Roman" w:cs="Times New Roman"/>
          <w:sz w:val="24"/>
          <w:szCs w:val="24"/>
          <w:lang w:val="uz-Latn-UZ"/>
        </w:rPr>
      </w:pPr>
      <w:r w:rsidRPr="00C851C6">
        <w:rPr>
          <w:rFonts w:ascii="Times New Roman" w:hAnsi="Times New Roman" w:cs="Times New Roman"/>
          <w:b/>
          <w:bCs/>
          <w:sz w:val="24"/>
          <w:szCs w:val="24"/>
          <w:lang w:val="uz-Latn-UZ"/>
        </w:rPr>
        <w:t xml:space="preserve">4. </w:t>
      </w:r>
      <w:r w:rsidR="00512F28" w:rsidRPr="00C851C6">
        <w:rPr>
          <w:rFonts w:ascii="Times New Roman" w:hAnsi="Times New Roman" w:cs="Times New Roman"/>
          <w:b/>
          <w:bCs/>
          <w:sz w:val="24"/>
          <w:szCs w:val="24"/>
          <w:lang w:val="uz-Latn-UZ"/>
        </w:rPr>
        <w:t>Bank Cards and POS Terminal Services</w:t>
      </w:r>
    </w:p>
    <w:p w14:paraId="2AEA835D" w14:textId="24D6D811" w:rsidR="00512F28" w:rsidRPr="00C851C6" w:rsidRDefault="00512F28"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These appeals mainly concerned objections related to banking services and payment transactions, including the application of commissions and tariffs, technical disruptions and customer notification procedures, mobile application functionality, reimbursement of incorrectly debited funds, and cash withdrawals using bank cards.</w:t>
      </w:r>
    </w:p>
    <w:p w14:paraId="62004DAB" w14:textId="524B31DB" w:rsidR="00412E63" w:rsidRPr="00C851C6" w:rsidRDefault="00412E63" w:rsidP="00412E63">
      <w:pPr>
        <w:spacing w:after="120"/>
        <w:jc w:val="both"/>
        <w:rPr>
          <w:rFonts w:ascii="Times New Roman" w:hAnsi="Times New Roman" w:cs="Times New Roman"/>
          <w:b/>
          <w:bCs/>
          <w:sz w:val="24"/>
          <w:szCs w:val="24"/>
          <w:lang w:val="uz-Latn-UZ"/>
        </w:rPr>
      </w:pPr>
      <w:r w:rsidRPr="00C851C6">
        <w:rPr>
          <w:rFonts w:ascii="Times New Roman" w:hAnsi="Times New Roman" w:cs="Times New Roman"/>
          <w:b/>
          <w:bCs/>
          <w:sz w:val="24"/>
          <w:szCs w:val="24"/>
          <w:lang w:val="uz-Latn-UZ"/>
        </w:rPr>
        <w:t xml:space="preserve">5. </w:t>
      </w:r>
      <w:r w:rsidR="00512F28" w:rsidRPr="00C851C6">
        <w:rPr>
          <w:rFonts w:ascii="Times New Roman" w:hAnsi="Times New Roman" w:cs="Times New Roman"/>
          <w:b/>
          <w:bCs/>
          <w:sz w:val="24"/>
          <w:szCs w:val="24"/>
          <w:lang w:val="uz-Latn-UZ"/>
        </w:rPr>
        <w:t>Other Matters</w:t>
      </w:r>
    </w:p>
    <w:p w14:paraId="47D0FFEA" w14:textId="612BD2EC" w:rsidR="00512F28" w:rsidRPr="00C851C6" w:rsidRDefault="00512F28"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The appeals primarily involved requests for information regarding bank accounts, deposits and payment cards; prevention and verification of loans in connection with fraud; clarifications concerning mobile applications and P2P transfer restrictions; and assistance in legal and property-related matters involving courts, state authorities and other organizations. Certain appeals also concerned amendments to financing terms for major projects and the provision of banking information necessary for the enforcement of court decisions.</w:t>
      </w:r>
    </w:p>
    <w:p w14:paraId="4F535537" w14:textId="3C30DFEF" w:rsidR="00412E63" w:rsidRPr="00C851C6" w:rsidRDefault="00412E63" w:rsidP="00412E63">
      <w:pPr>
        <w:spacing w:after="120"/>
        <w:jc w:val="both"/>
        <w:rPr>
          <w:rFonts w:ascii="Times New Roman" w:hAnsi="Times New Roman" w:cs="Times New Roman"/>
          <w:b/>
          <w:bCs/>
          <w:sz w:val="24"/>
          <w:szCs w:val="24"/>
          <w:lang w:val="en-US"/>
        </w:rPr>
      </w:pPr>
      <w:r w:rsidRPr="00C851C6">
        <w:rPr>
          <w:rFonts w:ascii="Times New Roman" w:hAnsi="Times New Roman" w:cs="Times New Roman"/>
          <w:b/>
          <w:bCs/>
          <w:sz w:val="24"/>
          <w:szCs w:val="24"/>
          <w:lang w:val="uz-Latn-UZ"/>
        </w:rPr>
        <w:t xml:space="preserve">6. </w:t>
      </w:r>
      <w:r w:rsidR="00512F28" w:rsidRPr="00C851C6">
        <w:rPr>
          <w:rFonts w:ascii="Times New Roman" w:hAnsi="Times New Roman" w:cs="Times New Roman"/>
          <w:b/>
          <w:bCs/>
          <w:sz w:val="24"/>
          <w:szCs w:val="24"/>
          <w:lang w:val="en-US"/>
        </w:rPr>
        <w:t>Foreign Exchange Regulation and Control</w:t>
      </w:r>
    </w:p>
    <w:p w14:paraId="4DC47292" w14:textId="72CDEA5D" w:rsidR="00412E63" w:rsidRPr="00C851C6" w:rsidRDefault="00512F28" w:rsidP="00BB2E32">
      <w:pPr>
        <w:jc w:val="both"/>
        <w:rPr>
          <w:rFonts w:ascii="Times New Roman" w:hAnsi="Times New Roman" w:cs="Times New Roman"/>
          <w:b/>
          <w:bCs/>
          <w:sz w:val="24"/>
          <w:szCs w:val="24"/>
          <w:lang w:val="uz-Latn-UZ"/>
        </w:rPr>
      </w:pPr>
      <w:r w:rsidRPr="00C851C6">
        <w:rPr>
          <w:rFonts w:ascii="Times New Roman" w:hAnsi="Times New Roman" w:cs="Times New Roman"/>
          <w:sz w:val="24"/>
          <w:szCs w:val="24"/>
          <w:lang w:val="uz-Latn-UZ"/>
        </w:rPr>
        <w:t>The appeals addressed matters related to foreign economic activity and foreign exchange transactions, including the write-off of liabilities under foreign trade contracts and their removal from foreign exchange control, the purchase of foreign currency and remittance of funds abroad for the payment of the value of interests held by foreign participants, as well as requests for clarification regarding the lawfulness of refusals by servicing banks to execute foreign currency payments and the application of the relevant regulations.</w:t>
      </w:r>
    </w:p>
    <w:p w14:paraId="7007E7A4" w14:textId="7C759A31" w:rsidR="00512F28" w:rsidRPr="00C851C6" w:rsidRDefault="00227C49" w:rsidP="00412E63">
      <w:pPr>
        <w:rPr>
          <w:rFonts w:ascii="Times New Roman" w:hAnsi="Times New Roman" w:cs="Times New Roman"/>
          <w:b/>
          <w:bCs/>
          <w:sz w:val="24"/>
          <w:szCs w:val="24"/>
          <w:lang w:val="uz-Latn-UZ"/>
        </w:rPr>
      </w:pPr>
      <w:r w:rsidRPr="00C851C6">
        <w:rPr>
          <w:rFonts w:ascii="Times New Roman" w:hAnsi="Times New Roman" w:cs="Times New Roman"/>
          <w:b/>
          <w:bCs/>
          <w:sz w:val="24"/>
          <w:szCs w:val="24"/>
          <w:lang w:val="uz-Latn-UZ"/>
        </w:rPr>
        <w:t xml:space="preserve">7. </w:t>
      </w:r>
      <w:r w:rsidR="00512F28" w:rsidRPr="00C851C6">
        <w:rPr>
          <w:rFonts w:ascii="Times New Roman" w:hAnsi="Times New Roman" w:cs="Times New Roman"/>
          <w:b/>
          <w:bCs/>
          <w:sz w:val="24"/>
          <w:szCs w:val="24"/>
          <w:lang w:val="uz-Latn-UZ"/>
        </w:rPr>
        <w:t>Conduct of Bank Employees</w:t>
      </w:r>
    </w:p>
    <w:bookmarkEnd w:id="2"/>
    <w:p w14:paraId="0D262B6F" w14:textId="6947A443" w:rsidR="00227C49" w:rsidRPr="00C851C6" w:rsidRDefault="00227C49" w:rsidP="00412E63">
      <w:pPr>
        <w:spacing w:after="120"/>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The appeals raised concerns regarding the application of tax claims to the accounts of diplomatic missions and the Bank’s compliance with customer notification procedures, as well as requests to verify the lawfulness of debits from a legal entity’s account and to assess the actions of Bank employees from a legal perspective.</w:t>
      </w:r>
    </w:p>
    <w:p w14:paraId="34D9A149" w14:textId="28597B57" w:rsidR="00412E63" w:rsidRPr="00C851C6" w:rsidRDefault="00227C49" w:rsidP="00642AAF">
      <w:pPr>
        <w:pStyle w:val="ListParagraph"/>
        <w:numPr>
          <w:ilvl w:val="0"/>
          <w:numId w:val="8"/>
        </w:numPr>
        <w:spacing w:before="240" w:after="120"/>
        <w:ind w:left="426" w:hanging="357"/>
        <w:jc w:val="both"/>
        <w:rPr>
          <w:rFonts w:ascii="Times New Roman" w:hAnsi="Times New Roman" w:cs="Times New Roman"/>
          <w:b/>
          <w:bCs/>
          <w:i/>
          <w:iCs/>
          <w:color w:val="2F5496" w:themeColor="accent1" w:themeShade="BF"/>
          <w:sz w:val="28"/>
          <w:szCs w:val="28"/>
          <w:lang w:val="uz-Latn-UZ"/>
        </w:rPr>
      </w:pPr>
      <w:r w:rsidRPr="00C851C6">
        <w:rPr>
          <w:rFonts w:ascii="Times New Roman" w:hAnsi="Times New Roman" w:cs="Times New Roman"/>
          <w:b/>
          <w:bCs/>
          <w:i/>
          <w:iCs/>
          <w:color w:val="2F5496" w:themeColor="accent1" w:themeShade="BF"/>
          <w:sz w:val="28"/>
          <w:szCs w:val="28"/>
          <w:lang w:val="uz-Latn-UZ"/>
        </w:rPr>
        <w:t>Consideration of Appeals, Systemic Deficiencies and Remedial Measures</w:t>
      </w:r>
    </w:p>
    <w:p w14:paraId="2A0560BD" w14:textId="43FCBEA9" w:rsidR="00227C49" w:rsidRPr="00C851C6" w:rsidRDefault="00227C49" w:rsidP="00412E63">
      <w:pPr>
        <w:spacing w:after="0"/>
        <w:jc w:val="both"/>
        <w:rPr>
          <w:rFonts w:ascii="Times New Roman" w:hAnsi="Times New Roman" w:cs="Times New Roman"/>
          <w:sz w:val="24"/>
          <w:szCs w:val="24"/>
          <w:lang w:val="uz-Latn-UZ"/>
        </w:rPr>
      </w:pPr>
      <w:bookmarkStart w:id="3" w:name="_Hlk194575086"/>
      <w:r w:rsidRPr="00C851C6">
        <w:rPr>
          <w:rFonts w:ascii="Times New Roman" w:hAnsi="Times New Roman" w:cs="Times New Roman"/>
          <w:sz w:val="24"/>
          <w:szCs w:val="24"/>
          <w:lang w:val="uz-Latn-UZ"/>
        </w:rPr>
        <w:lastRenderedPageBreak/>
        <w:t xml:space="preserve">All appeals received during the </w:t>
      </w:r>
      <w:r w:rsidR="00374108" w:rsidRPr="00C851C6">
        <w:rPr>
          <w:rFonts w:ascii="Times New Roman" w:hAnsi="Times New Roman" w:cs="Times New Roman"/>
          <w:sz w:val="24"/>
          <w:szCs w:val="24"/>
          <w:lang w:val="uz-Latn-UZ"/>
        </w:rPr>
        <w:t>second</w:t>
      </w:r>
      <w:r w:rsidRPr="00C851C6">
        <w:rPr>
          <w:rFonts w:ascii="Times New Roman" w:hAnsi="Times New Roman" w:cs="Times New Roman"/>
          <w:sz w:val="24"/>
          <w:szCs w:val="24"/>
          <w:lang w:val="uz-Latn-UZ"/>
        </w:rPr>
        <w:t xml:space="preserve"> quarter of 2026 were considered by the Bank’s management and responsible employees within the statutory timeframes. Explanations and clarifications were provided to the applicants, and written responses were duly issued. </w:t>
      </w:r>
    </w:p>
    <w:bookmarkEnd w:id="1"/>
    <w:bookmarkEnd w:id="3"/>
    <w:p w14:paraId="7FA534B3" w14:textId="77777777" w:rsidR="002330D8" w:rsidRDefault="002330D8" w:rsidP="002330D8">
      <w:pPr>
        <w:spacing w:before="240" w:after="240" w:line="254" w:lineRule="auto"/>
        <w:contextualSpacing/>
        <w:jc w:val="both"/>
        <w:rPr>
          <w:rFonts w:ascii="Times New Roman" w:hAnsi="Times New Roman" w:cs="Times New Roman"/>
          <w:sz w:val="24"/>
          <w:szCs w:val="24"/>
          <w:lang w:val="uz-Latn-UZ"/>
        </w:rPr>
      </w:pPr>
    </w:p>
    <w:p w14:paraId="1F546F35" w14:textId="5EF1DC81" w:rsidR="00377595" w:rsidRDefault="00227C49" w:rsidP="002330D8">
      <w:pPr>
        <w:spacing w:before="240" w:after="240" w:line="254" w:lineRule="auto"/>
        <w:contextualSpacing/>
        <w:jc w:val="both"/>
        <w:rPr>
          <w:rFonts w:ascii="Times New Roman" w:hAnsi="Times New Roman" w:cs="Times New Roman"/>
          <w:sz w:val="24"/>
          <w:szCs w:val="24"/>
          <w:lang w:val="uz-Latn-UZ"/>
        </w:rPr>
      </w:pPr>
      <w:r w:rsidRPr="00C851C6">
        <w:rPr>
          <w:rFonts w:ascii="Times New Roman" w:hAnsi="Times New Roman" w:cs="Times New Roman"/>
          <w:sz w:val="24"/>
          <w:szCs w:val="24"/>
          <w:lang w:val="uz-Latn-UZ"/>
        </w:rPr>
        <w:t>Following a comprehensive analysis of the issues raised, the Bank has adopted the following measures:</w:t>
      </w:r>
    </w:p>
    <w:p w14:paraId="10B06E2E" w14:textId="77777777" w:rsidR="002330D8" w:rsidRPr="00C851C6" w:rsidRDefault="002330D8" w:rsidP="00377595">
      <w:pPr>
        <w:spacing w:line="254" w:lineRule="auto"/>
        <w:contextualSpacing/>
        <w:jc w:val="both"/>
        <w:rPr>
          <w:rFonts w:ascii="Times New Roman" w:eastAsia="Calibri" w:hAnsi="Times New Roman" w:cs="Times New Roman"/>
          <w:sz w:val="24"/>
          <w:szCs w:val="24"/>
          <w:lang w:val="uz-Latn-UZ"/>
        </w:rPr>
      </w:pPr>
    </w:p>
    <w:tbl>
      <w:tblPr>
        <w:tblStyle w:val="TableGrid"/>
        <w:tblW w:w="5077" w:type="pct"/>
        <w:tblLook w:val="04A0" w:firstRow="1" w:lastRow="0" w:firstColumn="1" w:lastColumn="0" w:noHBand="0" w:noVBand="1"/>
      </w:tblPr>
      <w:tblGrid>
        <w:gridCol w:w="458"/>
        <w:gridCol w:w="4292"/>
        <w:gridCol w:w="1856"/>
        <w:gridCol w:w="3170"/>
      </w:tblGrid>
      <w:tr w:rsidR="0083204C" w:rsidRPr="00C851C6" w14:paraId="4E55B804" w14:textId="77777777" w:rsidTr="00351C19">
        <w:trPr>
          <w:trHeight w:val="340"/>
        </w:trPr>
        <w:tc>
          <w:tcPr>
            <w:tcW w:w="2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19799B" w14:textId="77777777" w:rsidR="0083204C" w:rsidRPr="00C851C6" w:rsidRDefault="0083204C" w:rsidP="00580584">
            <w:pPr>
              <w:spacing w:line="254" w:lineRule="auto"/>
              <w:jc w:val="both"/>
              <w:rPr>
                <w:rFonts w:ascii="Times New Roman" w:eastAsia="Calibri" w:hAnsi="Times New Roman" w:cs="Times New Roman"/>
                <w:b/>
                <w:bCs/>
                <w:sz w:val="24"/>
                <w:szCs w:val="24"/>
                <w:lang w:val="uz-Cyrl-UZ"/>
              </w:rPr>
            </w:pPr>
            <w:bookmarkStart w:id="4" w:name="_Hlk203038414"/>
            <w:r w:rsidRPr="00C851C6">
              <w:rPr>
                <w:rFonts w:ascii="Times New Roman" w:eastAsia="Calibri" w:hAnsi="Times New Roman" w:cs="Times New Roman"/>
                <w:b/>
                <w:bCs/>
                <w:sz w:val="24"/>
                <w:szCs w:val="24"/>
                <w:lang w:val="uz-Cyrl-UZ"/>
              </w:rPr>
              <w:t>№</w:t>
            </w:r>
          </w:p>
        </w:tc>
        <w:tc>
          <w:tcPr>
            <w:tcW w:w="228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5AE52F" w14:textId="0C132B39" w:rsidR="00793CAB" w:rsidRPr="00C851C6" w:rsidRDefault="00793CAB" w:rsidP="00793CAB">
            <w:pPr>
              <w:spacing w:line="254" w:lineRule="auto"/>
              <w:jc w:val="center"/>
              <w:rPr>
                <w:rFonts w:ascii="Times New Roman" w:hAnsi="Times New Roman" w:cs="Times New Roman"/>
                <w:b/>
                <w:bCs/>
                <w:sz w:val="24"/>
                <w:szCs w:val="24"/>
                <w:lang w:val="en-US"/>
              </w:rPr>
            </w:pPr>
            <w:r w:rsidRPr="00C851C6">
              <w:rPr>
                <w:rFonts w:ascii="Times New Roman" w:hAnsi="Times New Roman" w:cs="Times New Roman"/>
                <w:b/>
                <w:bCs/>
                <w:sz w:val="24"/>
                <w:szCs w:val="24"/>
                <w:lang w:val="en-US"/>
              </w:rPr>
              <w:t>Measures</w:t>
            </w:r>
          </w:p>
        </w:tc>
        <w:tc>
          <w:tcPr>
            <w:tcW w:w="8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17068D" w14:textId="302E246B" w:rsidR="0083204C" w:rsidRPr="00C851C6" w:rsidRDefault="00793CAB" w:rsidP="00580584">
            <w:pPr>
              <w:spacing w:after="255" w:line="254" w:lineRule="auto"/>
              <w:contextualSpacing/>
              <w:jc w:val="center"/>
              <w:rPr>
                <w:rFonts w:ascii="Times New Roman" w:eastAsia="Calibri" w:hAnsi="Times New Roman" w:cs="Times New Roman"/>
                <w:b/>
                <w:bCs/>
                <w:sz w:val="24"/>
                <w:szCs w:val="24"/>
                <w:lang w:val="en-US"/>
              </w:rPr>
            </w:pPr>
            <w:r w:rsidRPr="00C851C6">
              <w:rPr>
                <w:rFonts w:ascii="Times New Roman" w:hAnsi="Times New Roman" w:cs="Times New Roman"/>
                <w:b/>
                <w:bCs/>
                <w:sz w:val="24"/>
                <w:szCs w:val="24"/>
                <w:lang w:val="en-US"/>
              </w:rPr>
              <w:t>Implementation period</w:t>
            </w:r>
          </w:p>
        </w:tc>
        <w:tc>
          <w:tcPr>
            <w:tcW w:w="166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633E31" w14:textId="688AEC39" w:rsidR="0083204C" w:rsidRPr="00C851C6" w:rsidRDefault="00793CAB" w:rsidP="00580584">
            <w:pPr>
              <w:spacing w:line="254" w:lineRule="auto"/>
              <w:jc w:val="center"/>
              <w:rPr>
                <w:rFonts w:ascii="Times New Roman" w:eastAsia="Calibri" w:hAnsi="Times New Roman" w:cs="Times New Roman"/>
                <w:b/>
                <w:bCs/>
                <w:sz w:val="24"/>
                <w:szCs w:val="24"/>
                <w:lang w:val="en-US"/>
              </w:rPr>
            </w:pPr>
            <w:r w:rsidRPr="00C851C6">
              <w:rPr>
                <w:rFonts w:ascii="Times New Roman" w:hAnsi="Times New Roman" w:cs="Times New Roman"/>
                <w:b/>
                <w:bCs/>
                <w:sz w:val="24"/>
                <w:szCs w:val="24"/>
                <w:lang w:val="en-US"/>
              </w:rPr>
              <w:t>Responsible Departments</w:t>
            </w:r>
          </w:p>
        </w:tc>
      </w:tr>
      <w:tr w:rsidR="0083204C" w:rsidRPr="007D16C4" w14:paraId="350D9650" w14:textId="77777777" w:rsidTr="00351C19">
        <w:trPr>
          <w:trHeight w:val="340"/>
        </w:trPr>
        <w:tc>
          <w:tcPr>
            <w:tcW w:w="235" w:type="pct"/>
            <w:tcBorders>
              <w:top w:val="single" w:sz="4" w:space="0" w:color="auto"/>
              <w:left w:val="single" w:sz="4" w:space="0" w:color="auto"/>
              <w:bottom w:val="single" w:sz="4" w:space="0" w:color="auto"/>
              <w:right w:val="single" w:sz="4" w:space="0" w:color="auto"/>
            </w:tcBorders>
            <w:vAlign w:val="center"/>
            <w:hideMark/>
          </w:tcPr>
          <w:p w14:paraId="49813F9A" w14:textId="77777777" w:rsidR="0083204C" w:rsidRPr="00C851C6" w:rsidRDefault="0083204C" w:rsidP="00580584">
            <w:pPr>
              <w:spacing w:line="254" w:lineRule="auto"/>
              <w:jc w:val="both"/>
              <w:rPr>
                <w:rFonts w:ascii="Times New Roman" w:eastAsia="Calibri" w:hAnsi="Times New Roman" w:cs="Times New Roman"/>
                <w:sz w:val="24"/>
                <w:szCs w:val="24"/>
                <w:lang w:val="en-US"/>
              </w:rPr>
            </w:pPr>
            <w:bookmarkStart w:id="5" w:name="_Hlk203039121"/>
            <w:bookmarkStart w:id="6" w:name="_Hlk234838673"/>
            <w:bookmarkEnd w:id="4"/>
            <w:r w:rsidRPr="00C851C6">
              <w:rPr>
                <w:rFonts w:ascii="Times New Roman" w:hAnsi="Times New Roman" w:cs="Times New Roman"/>
                <w:sz w:val="24"/>
                <w:szCs w:val="24"/>
                <w:lang w:val="uz-Latn-UZ"/>
              </w:rPr>
              <w:t>1.</w:t>
            </w:r>
          </w:p>
        </w:tc>
        <w:tc>
          <w:tcPr>
            <w:tcW w:w="2284" w:type="pct"/>
            <w:tcBorders>
              <w:top w:val="single" w:sz="4" w:space="0" w:color="auto"/>
              <w:left w:val="single" w:sz="4" w:space="0" w:color="auto"/>
              <w:bottom w:val="single" w:sz="4" w:space="0" w:color="auto"/>
              <w:right w:val="single" w:sz="4" w:space="0" w:color="auto"/>
            </w:tcBorders>
            <w:vAlign w:val="center"/>
          </w:tcPr>
          <w:p w14:paraId="7E71E217" w14:textId="7C1E62C9" w:rsidR="0083204C" w:rsidRPr="00C851C6" w:rsidRDefault="005E50F1" w:rsidP="00580584">
            <w:pPr>
              <w:spacing w:line="254" w:lineRule="auto"/>
              <w:jc w:val="both"/>
              <w:rPr>
                <w:rFonts w:ascii="Times New Roman" w:eastAsia="Calibri" w:hAnsi="Times New Roman" w:cs="Times New Roman"/>
                <w:sz w:val="24"/>
                <w:szCs w:val="24"/>
                <w:lang w:val="en-US"/>
              </w:rPr>
            </w:pPr>
            <w:r w:rsidRPr="00C851C6">
              <w:rPr>
                <w:rFonts w:ascii="Times New Roman" w:eastAsia="Calibri" w:hAnsi="Times New Roman" w:cs="Times New Roman"/>
                <w:sz w:val="24"/>
                <w:szCs w:val="24"/>
                <w:lang w:val="en-US"/>
              </w:rPr>
              <w:t xml:space="preserve">To expand the practice of informing customers in advance, via SMS and the mobile application, </w:t>
            </w:r>
            <w:r w:rsidR="00123EAA">
              <w:rPr>
                <w:rFonts w:ascii="Times New Roman" w:eastAsia="Calibri" w:hAnsi="Times New Roman" w:cs="Times New Roman"/>
                <w:sz w:val="24"/>
                <w:szCs w:val="24"/>
                <w:lang w:val="en-US"/>
              </w:rPr>
              <w:t>about</w:t>
            </w:r>
            <w:r w:rsidRPr="00C851C6">
              <w:rPr>
                <w:rFonts w:ascii="Times New Roman" w:eastAsia="Calibri" w:hAnsi="Times New Roman" w:cs="Times New Roman"/>
                <w:sz w:val="24"/>
                <w:szCs w:val="24"/>
                <w:lang w:val="en-US"/>
              </w:rPr>
              <w:t xml:space="preserve"> changes in tariffs, commissions and transaction limits.</w:t>
            </w:r>
          </w:p>
        </w:tc>
        <w:tc>
          <w:tcPr>
            <w:tcW w:w="815" w:type="pct"/>
            <w:tcBorders>
              <w:top w:val="single" w:sz="4" w:space="0" w:color="auto"/>
              <w:left w:val="single" w:sz="4" w:space="0" w:color="auto"/>
              <w:bottom w:val="single" w:sz="4" w:space="0" w:color="auto"/>
              <w:right w:val="single" w:sz="4" w:space="0" w:color="auto"/>
            </w:tcBorders>
            <w:vAlign w:val="center"/>
          </w:tcPr>
          <w:p w14:paraId="71FB82D0" w14:textId="72F35332" w:rsidR="0083204C" w:rsidRPr="00C851C6" w:rsidRDefault="005E50F1" w:rsidP="00123EAA">
            <w:pPr>
              <w:spacing w:after="255" w:line="254" w:lineRule="auto"/>
              <w:contextualSpacing/>
              <w:jc w:val="center"/>
              <w:rPr>
                <w:rFonts w:ascii="Times New Roman" w:eastAsia="Calibri" w:hAnsi="Times New Roman" w:cs="Times New Roman"/>
                <w:sz w:val="24"/>
                <w:szCs w:val="24"/>
                <w:lang w:val="en-GB"/>
              </w:rPr>
            </w:pPr>
            <w:r w:rsidRPr="00C851C6">
              <w:rPr>
                <w:rFonts w:ascii="Times New Roman" w:hAnsi="Times New Roman" w:cs="Times New Roman"/>
                <w:sz w:val="24"/>
                <w:szCs w:val="24"/>
                <w:lang w:val="uz-Latn-UZ"/>
              </w:rPr>
              <w:t>Ongoing</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58D66C82" w14:textId="6FD3E9BF" w:rsidR="0083204C" w:rsidRPr="00C851C6" w:rsidRDefault="00C77BD7" w:rsidP="006818E5">
            <w:pPr>
              <w:spacing w:line="254" w:lineRule="auto"/>
              <w:jc w:val="both"/>
              <w:rPr>
                <w:rFonts w:ascii="Times New Roman" w:eastAsia="Calibri" w:hAnsi="Times New Roman" w:cs="Times New Roman"/>
                <w:sz w:val="24"/>
                <w:szCs w:val="24"/>
                <w:lang w:val="en-GB"/>
              </w:rPr>
            </w:pPr>
            <w:r w:rsidRPr="00C851C6">
              <w:rPr>
                <w:rFonts w:ascii="Times New Roman" w:eastAsia="Calibri" w:hAnsi="Times New Roman" w:cs="Times New Roman"/>
                <w:sz w:val="24"/>
                <w:szCs w:val="24"/>
                <w:lang w:val="en-GB"/>
              </w:rPr>
              <w:t>Client Service Department-1; Client Service Department-2; Digital Banking System Department.</w:t>
            </w:r>
          </w:p>
        </w:tc>
      </w:tr>
      <w:tr w:rsidR="0083204C" w:rsidRPr="007D16C4" w14:paraId="71858DB7" w14:textId="77777777" w:rsidTr="00351C19">
        <w:trPr>
          <w:trHeight w:val="340"/>
        </w:trPr>
        <w:tc>
          <w:tcPr>
            <w:tcW w:w="235" w:type="pct"/>
            <w:tcBorders>
              <w:top w:val="single" w:sz="4" w:space="0" w:color="auto"/>
              <w:left w:val="single" w:sz="4" w:space="0" w:color="auto"/>
              <w:bottom w:val="single" w:sz="4" w:space="0" w:color="auto"/>
              <w:right w:val="single" w:sz="4" w:space="0" w:color="auto"/>
            </w:tcBorders>
            <w:vAlign w:val="center"/>
          </w:tcPr>
          <w:p w14:paraId="654C41CB" w14:textId="77777777" w:rsidR="0083204C" w:rsidRPr="00C851C6" w:rsidRDefault="0083204C" w:rsidP="00580584">
            <w:pPr>
              <w:spacing w:after="255" w:line="254" w:lineRule="auto"/>
              <w:contextualSpacing/>
              <w:jc w:val="both"/>
              <w:rPr>
                <w:rFonts w:ascii="Times New Roman" w:eastAsia="Calibri" w:hAnsi="Times New Roman" w:cs="Times New Roman"/>
                <w:sz w:val="24"/>
                <w:szCs w:val="24"/>
                <w:lang w:val="en-US"/>
              </w:rPr>
            </w:pPr>
            <w:r w:rsidRPr="00C851C6">
              <w:rPr>
                <w:rFonts w:ascii="Times New Roman" w:hAnsi="Times New Roman" w:cs="Times New Roman"/>
                <w:sz w:val="24"/>
                <w:szCs w:val="24"/>
                <w:lang w:val="uz-Latn-UZ"/>
              </w:rPr>
              <w:t>2.</w:t>
            </w:r>
          </w:p>
        </w:tc>
        <w:tc>
          <w:tcPr>
            <w:tcW w:w="2284" w:type="pct"/>
            <w:tcBorders>
              <w:top w:val="single" w:sz="4" w:space="0" w:color="auto"/>
              <w:left w:val="single" w:sz="4" w:space="0" w:color="auto"/>
              <w:bottom w:val="single" w:sz="4" w:space="0" w:color="auto"/>
              <w:right w:val="single" w:sz="4" w:space="0" w:color="auto"/>
            </w:tcBorders>
            <w:vAlign w:val="center"/>
          </w:tcPr>
          <w:p w14:paraId="3984F492" w14:textId="25BCA87E" w:rsidR="0083204C" w:rsidRPr="00C851C6" w:rsidRDefault="005E50F1" w:rsidP="00580584">
            <w:pPr>
              <w:spacing w:after="255" w:line="254" w:lineRule="auto"/>
              <w:contextualSpacing/>
              <w:jc w:val="both"/>
              <w:rPr>
                <w:rFonts w:ascii="Times New Roman" w:eastAsia="Calibri" w:hAnsi="Times New Roman" w:cs="Times New Roman"/>
                <w:color w:val="000000" w:themeColor="text1"/>
                <w:sz w:val="24"/>
                <w:szCs w:val="24"/>
                <w:lang w:val="en-US"/>
              </w:rPr>
            </w:pPr>
            <w:r w:rsidRPr="00C851C6">
              <w:rPr>
                <w:rFonts w:ascii="Times New Roman" w:eastAsia="Calibri" w:hAnsi="Times New Roman" w:cs="Times New Roman"/>
                <w:color w:val="000000" w:themeColor="text1"/>
                <w:sz w:val="24"/>
                <w:szCs w:val="24"/>
                <w:lang w:val="en-US"/>
              </w:rPr>
              <w:t>To implement the modernization of the Visa Processing Center on a phased basis.</w:t>
            </w:r>
          </w:p>
        </w:tc>
        <w:tc>
          <w:tcPr>
            <w:tcW w:w="815" w:type="pct"/>
            <w:tcBorders>
              <w:top w:val="single" w:sz="4" w:space="0" w:color="auto"/>
              <w:left w:val="single" w:sz="4" w:space="0" w:color="auto"/>
              <w:bottom w:val="single" w:sz="4" w:space="0" w:color="auto"/>
              <w:right w:val="single" w:sz="4" w:space="0" w:color="auto"/>
            </w:tcBorders>
            <w:vAlign w:val="center"/>
          </w:tcPr>
          <w:p w14:paraId="3CA74720" w14:textId="694254D4" w:rsidR="0083204C" w:rsidRPr="00C851C6" w:rsidRDefault="0083204C" w:rsidP="00580584">
            <w:pPr>
              <w:spacing w:after="255" w:line="254" w:lineRule="auto"/>
              <w:contextualSpacing/>
              <w:jc w:val="center"/>
              <w:rPr>
                <w:rFonts w:ascii="Times New Roman" w:eastAsia="Calibri" w:hAnsi="Times New Roman" w:cs="Times New Roman"/>
                <w:color w:val="000000" w:themeColor="text1"/>
                <w:sz w:val="24"/>
                <w:szCs w:val="24"/>
                <w:lang w:val="en-GB"/>
              </w:rPr>
            </w:pPr>
            <w:r w:rsidRPr="00C851C6">
              <w:rPr>
                <w:rFonts w:ascii="Times New Roman" w:eastAsia="Calibri" w:hAnsi="Times New Roman" w:cs="Times New Roman"/>
                <w:color w:val="000000" w:themeColor="text1"/>
                <w:sz w:val="24"/>
                <w:szCs w:val="24"/>
                <w:lang w:val="en-GB"/>
              </w:rPr>
              <w:t>01.0</w:t>
            </w:r>
            <w:r w:rsidR="00351C19" w:rsidRPr="00C851C6">
              <w:rPr>
                <w:rFonts w:ascii="Times New Roman" w:eastAsia="Calibri" w:hAnsi="Times New Roman" w:cs="Times New Roman"/>
                <w:color w:val="000000" w:themeColor="text1"/>
                <w:sz w:val="24"/>
                <w:szCs w:val="24"/>
                <w:lang w:val="en-GB"/>
              </w:rPr>
              <w:t>9</w:t>
            </w:r>
            <w:r w:rsidRPr="00C851C6">
              <w:rPr>
                <w:rFonts w:ascii="Times New Roman" w:eastAsia="Calibri" w:hAnsi="Times New Roman" w:cs="Times New Roman"/>
                <w:color w:val="000000" w:themeColor="text1"/>
                <w:sz w:val="24"/>
                <w:szCs w:val="24"/>
                <w:lang w:val="en-GB"/>
              </w:rPr>
              <w:t>.2026</w:t>
            </w:r>
          </w:p>
        </w:tc>
        <w:tc>
          <w:tcPr>
            <w:tcW w:w="1666" w:type="pct"/>
            <w:tcBorders>
              <w:top w:val="single" w:sz="4" w:space="0" w:color="auto"/>
              <w:left w:val="single" w:sz="4" w:space="0" w:color="auto"/>
              <w:right w:val="single" w:sz="4" w:space="0" w:color="auto"/>
            </w:tcBorders>
            <w:shd w:val="clear" w:color="auto" w:fill="FFFFFF"/>
            <w:vAlign w:val="center"/>
          </w:tcPr>
          <w:p w14:paraId="2F85A318" w14:textId="77777777" w:rsidR="00C77BD7" w:rsidRPr="00C851C6" w:rsidRDefault="00C77BD7" w:rsidP="006818E5">
            <w:pPr>
              <w:spacing w:after="255" w:line="254" w:lineRule="auto"/>
              <w:contextualSpacing/>
              <w:jc w:val="both"/>
              <w:rPr>
                <w:rFonts w:ascii="Times New Roman" w:hAnsi="Times New Roman" w:cs="Times New Roman"/>
                <w:color w:val="000000" w:themeColor="text1"/>
                <w:sz w:val="24"/>
                <w:szCs w:val="24"/>
                <w:lang w:val="uz-Latn-UZ"/>
              </w:rPr>
            </w:pPr>
            <w:r w:rsidRPr="00C851C6">
              <w:rPr>
                <w:rFonts w:ascii="Times New Roman" w:hAnsi="Times New Roman" w:cs="Times New Roman"/>
                <w:color w:val="000000" w:themeColor="text1"/>
                <w:sz w:val="24"/>
                <w:szCs w:val="24"/>
                <w:lang w:val="uz-Latn-UZ"/>
              </w:rPr>
              <w:t>Bank Cards Department;</w:t>
            </w:r>
          </w:p>
          <w:p w14:paraId="27F80932" w14:textId="3727E118" w:rsidR="0083204C" w:rsidRPr="00C851C6" w:rsidRDefault="0083204C" w:rsidP="006818E5">
            <w:pPr>
              <w:spacing w:after="255" w:line="254" w:lineRule="auto"/>
              <w:contextualSpacing/>
              <w:jc w:val="both"/>
              <w:rPr>
                <w:rFonts w:ascii="Times New Roman" w:eastAsia="Calibri" w:hAnsi="Times New Roman" w:cs="Times New Roman"/>
                <w:color w:val="000000" w:themeColor="text1"/>
                <w:sz w:val="24"/>
                <w:szCs w:val="24"/>
                <w:lang w:val="en-GB"/>
              </w:rPr>
            </w:pPr>
            <w:r w:rsidRPr="00C851C6">
              <w:rPr>
                <w:rFonts w:ascii="Times New Roman" w:hAnsi="Times New Roman" w:cs="Times New Roman"/>
                <w:color w:val="000000" w:themeColor="text1"/>
                <w:sz w:val="24"/>
                <w:szCs w:val="24"/>
                <w:lang w:val="uz-Latn-UZ"/>
              </w:rPr>
              <w:t>IT</w:t>
            </w:r>
            <w:r w:rsidR="00C77BD7" w:rsidRPr="00C851C6">
              <w:rPr>
                <w:rFonts w:ascii="Times New Roman" w:hAnsi="Times New Roman" w:cs="Times New Roman"/>
                <w:color w:val="000000" w:themeColor="text1"/>
                <w:sz w:val="24"/>
                <w:szCs w:val="24"/>
                <w:lang w:val="uz-Latn-UZ"/>
              </w:rPr>
              <w:t xml:space="preserve"> Systems Department.</w:t>
            </w:r>
          </w:p>
        </w:tc>
      </w:tr>
      <w:bookmarkEnd w:id="5"/>
      <w:tr w:rsidR="0083204C" w:rsidRPr="007D16C4" w14:paraId="507B53B9" w14:textId="77777777" w:rsidTr="00351C19">
        <w:trPr>
          <w:trHeight w:val="947"/>
        </w:trPr>
        <w:tc>
          <w:tcPr>
            <w:tcW w:w="235" w:type="pct"/>
            <w:tcBorders>
              <w:top w:val="single" w:sz="4" w:space="0" w:color="auto"/>
              <w:left w:val="single" w:sz="4" w:space="0" w:color="auto"/>
              <w:bottom w:val="single" w:sz="4" w:space="0" w:color="auto"/>
              <w:right w:val="single" w:sz="4" w:space="0" w:color="auto"/>
            </w:tcBorders>
            <w:vAlign w:val="center"/>
          </w:tcPr>
          <w:p w14:paraId="2B9A9B6B" w14:textId="77777777" w:rsidR="0083204C" w:rsidRPr="00C851C6" w:rsidRDefault="0083204C" w:rsidP="00580584">
            <w:pPr>
              <w:spacing w:after="255" w:line="254" w:lineRule="auto"/>
              <w:contextualSpacing/>
              <w:jc w:val="both"/>
              <w:rPr>
                <w:rFonts w:ascii="Times New Roman" w:eastAsia="Calibri" w:hAnsi="Times New Roman" w:cs="Times New Roman"/>
                <w:sz w:val="24"/>
                <w:szCs w:val="24"/>
                <w:lang w:val="en-US"/>
              </w:rPr>
            </w:pPr>
            <w:r w:rsidRPr="00C851C6">
              <w:rPr>
                <w:rFonts w:ascii="Times New Roman" w:hAnsi="Times New Roman" w:cs="Times New Roman"/>
                <w:sz w:val="24"/>
                <w:szCs w:val="24"/>
                <w:lang w:val="uz-Latn-UZ"/>
              </w:rPr>
              <w:t>3.</w:t>
            </w:r>
          </w:p>
        </w:tc>
        <w:tc>
          <w:tcPr>
            <w:tcW w:w="2284" w:type="pct"/>
            <w:tcBorders>
              <w:top w:val="single" w:sz="4" w:space="0" w:color="auto"/>
              <w:left w:val="single" w:sz="4" w:space="0" w:color="auto"/>
              <w:right w:val="single" w:sz="4" w:space="0" w:color="auto"/>
            </w:tcBorders>
            <w:vAlign w:val="center"/>
          </w:tcPr>
          <w:p w14:paraId="5D961805" w14:textId="0B4AD4ED" w:rsidR="0083204C" w:rsidRPr="00C851C6" w:rsidRDefault="005E50F1" w:rsidP="00580584">
            <w:pPr>
              <w:spacing w:after="255" w:line="254" w:lineRule="auto"/>
              <w:contextualSpacing/>
              <w:jc w:val="both"/>
              <w:rPr>
                <w:rFonts w:ascii="Times New Roman" w:eastAsia="Calibri" w:hAnsi="Times New Roman" w:cs="Times New Roman"/>
                <w:sz w:val="24"/>
                <w:szCs w:val="24"/>
                <w:lang w:val="uz-Latn-UZ"/>
              </w:rPr>
            </w:pPr>
            <w:r w:rsidRPr="00C851C6">
              <w:rPr>
                <w:rFonts w:ascii="Times New Roman" w:eastAsia="Calibri" w:hAnsi="Times New Roman" w:cs="Times New Roman"/>
                <w:sz w:val="24"/>
                <w:szCs w:val="24"/>
                <w:lang w:val="uz-Latn-UZ"/>
              </w:rPr>
              <w:t>To ensure the continuous availability of 24/7 card blocking services and the uninterrupted operation of anti-fraud systems.</w:t>
            </w:r>
          </w:p>
        </w:tc>
        <w:tc>
          <w:tcPr>
            <w:tcW w:w="815" w:type="pct"/>
            <w:tcBorders>
              <w:top w:val="single" w:sz="4" w:space="0" w:color="auto"/>
              <w:left w:val="single" w:sz="4" w:space="0" w:color="auto"/>
              <w:right w:val="single" w:sz="4" w:space="0" w:color="auto"/>
            </w:tcBorders>
            <w:vAlign w:val="center"/>
          </w:tcPr>
          <w:p w14:paraId="62245A6C" w14:textId="4824DCDA" w:rsidR="005E50F1" w:rsidRPr="00C851C6" w:rsidRDefault="005E50F1" w:rsidP="006818E5">
            <w:pPr>
              <w:spacing w:after="255" w:line="254" w:lineRule="auto"/>
              <w:contextualSpacing/>
              <w:jc w:val="center"/>
              <w:rPr>
                <w:rFonts w:ascii="Times New Roman" w:eastAsia="Calibri" w:hAnsi="Times New Roman" w:cs="Times New Roman"/>
                <w:sz w:val="24"/>
                <w:szCs w:val="24"/>
                <w:lang w:val="en-GB"/>
              </w:rPr>
            </w:pPr>
            <w:r w:rsidRPr="00C851C6">
              <w:rPr>
                <w:rFonts w:ascii="Times New Roman" w:hAnsi="Times New Roman" w:cs="Times New Roman"/>
                <w:sz w:val="24"/>
                <w:szCs w:val="24"/>
                <w:lang w:val="uz-Latn-UZ"/>
              </w:rPr>
              <w:t>Ongoing</w:t>
            </w:r>
          </w:p>
        </w:tc>
        <w:tc>
          <w:tcPr>
            <w:tcW w:w="1666" w:type="pct"/>
            <w:tcBorders>
              <w:top w:val="single" w:sz="4" w:space="0" w:color="auto"/>
              <w:left w:val="single" w:sz="4" w:space="0" w:color="auto"/>
              <w:right w:val="single" w:sz="4" w:space="0" w:color="auto"/>
            </w:tcBorders>
            <w:shd w:val="clear" w:color="auto" w:fill="FFFFFF"/>
            <w:vAlign w:val="center"/>
          </w:tcPr>
          <w:p w14:paraId="229378EC" w14:textId="77777777" w:rsidR="00C77BD7" w:rsidRPr="00C851C6" w:rsidRDefault="00C77BD7" w:rsidP="006818E5">
            <w:pPr>
              <w:spacing w:after="255" w:line="254" w:lineRule="auto"/>
              <w:contextualSpacing/>
              <w:jc w:val="both"/>
              <w:rPr>
                <w:rFonts w:ascii="Times New Roman" w:hAnsi="Times New Roman" w:cs="Times New Roman"/>
                <w:color w:val="000000" w:themeColor="text1"/>
                <w:sz w:val="24"/>
                <w:szCs w:val="24"/>
                <w:lang w:val="uz-Latn-UZ"/>
              </w:rPr>
            </w:pPr>
            <w:r w:rsidRPr="00C851C6">
              <w:rPr>
                <w:rFonts w:ascii="Times New Roman" w:hAnsi="Times New Roman" w:cs="Times New Roman"/>
                <w:color w:val="000000" w:themeColor="text1"/>
                <w:sz w:val="24"/>
                <w:szCs w:val="24"/>
                <w:lang w:val="uz-Latn-UZ"/>
              </w:rPr>
              <w:t>Bank Cards Department;</w:t>
            </w:r>
          </w:p>
          <w:p w14:paraId="23DF8197" w14:textId="3A582E7C" w:rsidR="0083204C" w:rsidRPr="00C851C6" w:rsidRDefault="00C77BD7" w:rsidP="006818E5">
            <w:pPr>
              <w:spacing w:after="255" w:line="254" w:lineRule="auto"/>
              <w:contextualSpacing/>
              <w:jc w:val="both"/>
              <w:rPr>
                <w:rFonts w:ascii="Times New Roman" w:eastAsia="Calibri" w:hAnsi="Times New Roman" w:cs="Times New Roman"/>
                <w:sz w:val="24"/>
                <w:szCs w:val="24"/>
                <w:lang w:val="en-GB"/>
              </w:rPr>
            </w:pPr>
            <w:r w:rsidRPr="00C851C6">
              <w:rPr>
                <w:rFonts w:ascii="Times New Roman" w:eastAsia="Calibri" w:hAnsi="Times New Roman" w:cs="Times New Roman"/>
                <w:sz w:val="24"/>
                <w:szCs w:val="24"/>
                <w:lang w:val="en-GB"/>
              </w:rPr>
              <w:t xml:space="preserve">Antifraud; </w:t>
            </w:r>
            <w:r w:rsidRPr="00C851C6">
              <w:rPr>
                <w:rFonts w:ascii="Times New Roman" w:hAnsi="Times New Roman" w:cs="Times New Roman"/>
                <w:color w:val="000000" w:themeColor="text1"/>
                <w:sz w:val="24"/>
                <w:szCs w:val="24"/>
                <w:lang w:val="uz-Latn-UZ"/>
              </w:rPr>
              <w:t xml:space="preserve">IT Security </w:t>
            </w:r>
            <w:r w:rsidR="00550957" w:rsidRPr="00C851C6">
              <w:rPr>
                <w:rFonts w:ascii="Times New Roman" w:hAnsi="Times New Roman" w:cs="Times New Roman"/>
                <w:color w:val="000000" w:themeColor="text1"/>
                <w:sz w:val="24"/>
                <w:szCs w:val="24"/>
                <w:lang w:val="uz-Latn-UZ"/>
              </w:rPr>
              <w:t>D</w:t>
            </w:r>
            <w:r w:rsidRPr="00C851C6">
              <w:rPr>
                <w:rFonts w:ascii="Times New Roman" w:hAnsi="Times New Roman" w:cs="Times New Roman"/>
                <w:color w:val="000000" w:themeColor="text1"/>
                <w:sz w:val="24"/>
                <w:szCs w:val="24"/>
                <w:lang w:val="uz-Latn-UZ"/>
              </w:rPr>
              <w:t>epartment</w:t>
            </w:r>
            <w:r w:rsidR="00550957" w:rsidRPr="00C851C6">
              <w:rPr>
                <w:rFonts w:ascii="Times New Roman" w:hAnsi="Times New Roman" w:cs="Times New Roman"/>
                <w:color w:val="000000" w:themeColor="text1"/>
                <w:sz w:val="24"/>
                <w:szCs w:val="24"/>
                <w:lang w:val="uz-Latn-UZ"/>
              </w:rPr>
              <w:t xml:space="preserve">; </w:t>
            </w:r>
            <w:r w:rsidR="00550957" w:rsidRPr="00C851C6">
              <w:rPr>
                <w:rFonts w:ascii="Times New Roman" w:eastAsia="Calibri" w:hAnsi="Times New Roman" w:cs="Times New Roman"/>
                <w:sz w:val="24"/>
                <w:szCs w:val="24"/>
                <w:lang w:val="en-GB"/>
              </w:rPr>
              <w:t>Digital Banking System Department.</w:t>
            </w:r>
            <w:r w:rsidR="00550957" w:rsidRPr="00C851C6">
              <w:rPr>
                <w:rFonts w:ascii="Times New Roman" w:hAnsi="Times New Roman" w:cs="Times New Roman"/>
                <w:color w:val="000000" w:themeColor="text1"/>
                <w:sz w:val="24"/>
                <w:szCs w:val="24"/>
                <w:lang w:val="uz-Latn-UZ"/>
              </w:rPr>
              <w:t xml:space="preserve"> </w:t>
            </w:r>
          </w:p>
        </w:tc>
      </w:tr>
      <w:tr w:rsidR="00550957" w:rsidRPr="007D16C4" w14:paraId="1599EE40" w14:textId="77777777" w:rsidTr="00550957">
        <w:trPr>
          <w:trHeight w:val="947"/>
        </w:trPr>
        <w:tc>
          <w:tcPr>
            <w:tcW w:w="235" w:type="pct"/>
          </w:tcPr>
          <w:p w14:paraId="14A31323" w14:textId="6CC6FD23" w:rsidR="00550957" w:rsidRPr="00C851C6" w:rsidRDefault="00550957" w:rsidP="0068663F">
            <w:pPr>
              <w:spacing w:after="255" w:line="254" w:lineRule="auto"/>
              <w:contextualSpacing/>
              <w:jc w:val="both"/>
              <w:rPr>
                <w:rFonts w:ascii="Times New Roman" w:eastAsia="Calibri" w:hAnsi="Times New Roman" w:cs="Times New Roman"/>
                <w:sz w:val="24"/>
                <w:szCs w:val="24"/>
                <w:lang w:val="en-US"/>
              </w:rPr>
            </w:pPr>
            <w:r w:rsidRPr="00C851C6">
              <w:rPr>
                <w:rFonts w:ascii="Times New Roman" w:hAnsi="Times New Roman" w:cs="Times New Roman"/>
                <w:sz w:val="24"/>
                <w:szCs w:val="24"/>
                <w:lang w:val="uz-Latn-UZ"/>
              </w:rPr>
              <w:t>4.</w:t>
            </w:r>
          </w:p>
        </w:tc>
        <w:tc>
          <w:tcPr>
            <w:tcW w:w="2284" w:type="pct"/>
          </w:tcPr>
          <w:p w14:paraId="4F21F00B" w14:textId="601AC8D6" w:rsidR="00550957" w:rsidRPr="00C851C6" w:rsidRDefault="005E50F1" w:rsidP="0068663F">
            <w:pPr>
              <w:spacing w:after="255" w:line="254" w:lineRule="auto"/>
              <w:contextualSpacing/>
              <w:jc w:val="both"/>
              <w:rPr>
                <w:rFonts w:ascii="Times New Roman" w:eastAsia="Calibri" w:hAnsi="Times New Roman" w:cs="Times New Roman"/>
                <w:sz w:val="24"/>
                <w:szCs w:val="24"/>
                <w:lang w:val="uz-Latn-UZ"/>
              </w:rPr>
            </w:pPr>
            <w:r w:rsidRPr="00C851C6">
              <w:rPr>
                <w:rFonts w:ascii="Times New Roman" w:eastAsia="Calibri" w:hAnsi="Times New Roman" w:cs="Times New Roman"/>
                <w:sz w:val="24"/>
                <w:szCs w:val="24"/>
                <w:lang w:val="uz-Latn-UZ"/>
              </w:rPr>
              <w:t>To regularly update internal guidelines governing foreign exchange transactions in line with applicable regulatory requirements.</w:t>
            </w:r>
          </w:p>
        </w:tc>
        <w:tc>
          <w:tcPr>
            <w:tcW w:w="815" w:type="pct"/>
          </w:tcPr>
          <w:p w14:paraId="285B83FB" w14:textId="77777777" w:rsidR="00550957" w:rsidRPr="00C851C6" w:rsidRDefault="00550957" w:rsidP="0068663F">
            <w:pPr>
              <w:spacing w:after="255" w:line="254" w:lineRule="auto"/>
              <w:contextualSpacing/>
              <w:jc w:val="center"/>
              <w:rPr>
                <w:rFonts w:ascii="Times New Roman" w:eastAsia="Calibri" w:hAnsi="Times New Roman" w:cs="Times New Roman"/>
                <w:sz w:val="24"/>
                <w:szCs w:val="24"/>
                <w:lang w:val="en-GB"/>
              </w:rPr>
            </w:pPr>
          </w:p>
          <w:p w14:paraId="6402B707" w14:textId="49397A1A" w:rsidR="005E50F1" w:rsidRPr="00C851C6" w:rsidRDefault="005E50F1" w:rsidP="006818E5">
            <w:pPr>
              <w:spacing w:after="255" w:line="254" w:lineRule="auto"/>
              <w:contextualSpacing/>
              <w:jc w:val="center"/>
              <w:rPr>
                <w:rFonts w:ascii="Times New Roman" w:eastAsia="Calibri" w:hAnsi="Times New Roman" w:cs="Times New Roman"/>
                <w:sz w:val="24"/>
                <w:szCs w:val="24"/>
                <w:lang w:val="en-GB"/>
              </w:rPr>
            </w:pPr>
            <w:r w:rsidRPr="00C851C6">
              <w:rPr>
                <w:rFonts w:ascii="Times New Roman" w:hAnsi="Times New Roman" w:cs="Times New Roman"/>
                <w:sz w:val="24"/>
                <w:szCs w:val="24"/>
                <w:lang w:val="uz-Latn-UZ"/>
              </w:rPr>
              <w:t>Ongoing</w:t>
            </w:r>
          </w:p>
        </w:tc>
        <w:tc>
          <w:tcPr>
            <w:tcW w:w="1666" w:type="pct"/>
          </w:tcPr>
          <w:p w14:paraId="573469FF" w14:textId="4E1E36C6" w:rsidR="00550957" w:rsidRPr="00C851C6" w:rsidRDefault="00550957" w:rsidP="006818E5">
            <w:pPr>
              <w:spacing w:after="255" w:line="254" w:lineRule="auto"/>
              <w:contextualSpacing/>
              <w:jc w:val="both"/>
              <w:rPr>
                <w:rFonts w:ascii="Times New Roman" w:hAnsi="Times New Roman" w:cs="Times New Roman"/>
                <w:color w:val="000000" w:themeColor="text1"/>
                <w:sz w:val="24"/>
                <w:szCs w:val="24"/>
                <w:lang w:val="uz-Latn-UZ"/>
              </w:rPr>
            </w:pPr>
            <w:r w:rsidRPr="00C851C6">
              <w:rPr>
                <w:rFonts w:ascii="Times New Roman" w:hAnsi="Times New Roman" w:cs="Times New Roman"/>
                <w:color w:val="000000" w:themeColor="text1"/>
                <w:sz w:val="24"/>
                <w:szCs w:val="24"/>
                <w:lang w:val="uz-Latn-UZ"/>
              </w:rPr>
              <w:t>Currency Control Department;</w:t>
            </w:r>
          </w:p>
          <w:p w14:paraId="10D34F67" w14:textId="4D57121B" w:rsidR="00550957" w:rsidRPr="00C851C6" w:rsidRDefault="00550957" w:rsidP="006818E5">
            <w:pPr>
              <w:spacing w:after="255" w:line="254" w:lineRule="auto"/>
              <w:contextualSpacing/>
              <w:jc w:val="both"/>
              <w:rPr>
                <w:rFonts w:ascii="Times New Roman" w:eastAsia="Calibri" w:hAnsi="Times New Roman" w:cs="Times New Roman"/>
                <w:sz w:val="24"/>
                <w:szCs w:val="24"/>
                <w:lang w:val="en-GB"/>
              </w:rPr>
            </w:pPr>
            <w:r w:rsidRPr="00C851C6">
              <w:rPr>
                <w:rFonts w:ascii="Times New Roman" w:eastAsia="Calibri" w:hAnsi="Times New Roman" w:cs="Times New Roman"/>
                <w:sz w:val="24"/>
                <w:szCs w:val="24"/>
                <w:lang w:val="en-GB"/>
              </w:rPr>
              <w:t>Compliance Department.</w:t>
            </w:r>
            <w:r w:rsidRPr="00C851C6">
              <w:rPr>
                <w:rFonts w:ascii="Times New Roman" w:hAnsi="Times New Roman" w:cs="Times New Roman"/>
                <w:color w:val="000000" w:themeColor="text1"/>
                <w:sz w:val="24"/>
                <w:szCs w:val="24"/>
                <w:lang w:val="uz-Latn-UZ"/>
              </w:rPr>
              <w:t xml:space="preserve"> </w:t>
            </w:r>
          </w:p>
        </w:tc>
      </w:tr>
      <w:bookmarkEnd w:id="6"/>
    </w:tbl>
    <w:p w14:paraId="2463938D" w14:textId="77777777" w:rsidR="00377595" w:rsidRPr="00C851C6" w:rsidRDefault="00377595" w:rsidP="00384744">
      <w:pPr>
        <w:jc w:val="both"/>
        <w:rPr>
          <w:rFonts w:ascii="Times New Roman" w:hAnsi="Times New Roman" w:cs="Times New Roman"/>
          <w:sz w:val="24"/>
          <w:szCs w:val="24"/>
          <w:lang w:val="en-US"/>
        </w:rPr>
      </w:pPr>
    </w:p>
    <w:sectPr w:rsidR="00377595" w:rsidRPr="00C851C6" w:rsidSect="00BE07AB">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4F3"/>
    <w:multiLevelType w:val="hybridMultilevel"/>
    <w:tmpl w:val="8CC61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70A51"/>
    <w:multiLevelType w:val="hybridMultilevel"/>
    <w:tmpl w:val="D08C2B2E"/>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4064A3"/>
    <w:multiLevelType w:val="hybridMultilevel"/>
    <w:tmpl w:val="17BA9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072E32"/>
    <w:multiLevelType w:val="hybridMultilevel"/>
    <w:tmpl w:val="F38CC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A30C8A"/>
    <w:multiLevelType w:val="hybridMultilevel"/>
    <w:tmpl w:val="A036C54C"/>
    <w:lvl w:ilvl="0" w:tplc="C64C0E36">
      <w:start w:val="2024"/>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2A5D19"/>
    <w:multiLevelType w:val="hybridMultilevel"/>
    <w:tmpl w:val="A79C9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1C5DE9"/>
    <w:multiLevelType w:val="hybridMultilevel"/>
    <w:tmpl w:val="93B4017C"/>
    <w:lvl w:ilvl="0" w:tplc="5784CA0A">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565C1F"/>
    <w:multiLevelType w:val="hybridMultilevel"/>
    <w:tmpl w:val="9F60B29A"/>
    <w:lvl w:ilvl="0" w:tplc="DED04E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C0"/>
    <w:rsid w:val="0000479A"/>
    <w:rsid w:val="00007B14"/>
    <w:rsid w:val="00007E83"/>
    <w:rsid w:val="00015B10"/>
    <w:rsid w:val="00016CBE"/>
    <w:rsid w:val="00022336"/>
    <w:rsid w:val="00025D8A"/>
    <w:rsid w:val="00057207"/>
    <w:rsid w:val="00061698"/>
    <w:rsid w:val="00063006"/>
    <w:rsid w:val="0007478C"/>
    <w:rsid w:val="00093D0B"/>
    <w:rsid w:val="000B3006"/>
    <w:rsid w:val="000B3F09"/>
    <w:rsid w:val="000C0397"/>
    <w:rsid w:val="000C2B74"/>
    <w:rsid w:val="00102040"/>
    <w:rsid w:val="0010563B"/>
    <w:rsid w:val="00123EAA"/>
    <w:rsid w:val="00136D62"/>
    <w:rsid w:val="001410BA"/>
    <w:rsid w:val="001416F5"/>
    <w:rsid w:val="00155079"/>
    <w:rsid w:val="001557E9"/>
    <w:rsid w:val="00164ABB"/>
    <w:rsid w:val="001A36C4"/>
    <w:rsid w:val="001A428A"/>
    <w:rsid w:val="001C20E4"/>
    <w:rsid w:val="001C42C8"/>
    <w:rsid w:val="001C64C8"/>
    <w:rsid w:val="001C7C37"/>
    <w:rsid w:val="001D3174"/>
    <w:rsid w:val="001D709A"/>
    <w:rsid w:val="001E3AA1"/>
    <w:rsid w:val="001E3FD5"/>
    <w:rsid w:val="001E6488"/>
    <w:rsid w:val="001F2775"/>
    <w:rsid w:val="001F6569"/>
    <w:rsid w:val="002225D6"/>
    <w:rsid w:val="002251AB"/>
    <w:rsid w:val="00227C49"/>
    <w:rsid w:val="002330D8"/>
    <w:rsid w:val="002341B8"/>
    <w:rsid w:val="00255B6D"/>
    <w:rsid w:val="00264A0E"/>
    <w:rsid w:val="00272522"/>
    <w:rsid w:val="0027644E"/>
    <w:rsid w:val="002A0896"/>
    <w:rsid w:val="002A60E1"/>
    <w:rsid w:val="002C11C4"/>
    <w:rsid w:val="002C3666"/>
    <w:rsid w:val="002D264D"/>
    <w:rsid w:val="002D7E2C"/>
    <w:rsid w:val="002F098B"/>
    <w:rsid w:val="002F4F4E"/>
    <w:rsid w:val="002F503C"/>
    <w:rsid w:val="00325D3C"/>
    <w:rsid w:val="00325DC3"/>
    <w:rsid w:val="00351C19"/>
    <w:rsid w:val="0035221B"/>
    <w:rsid w:val="003709F3"/>
    <w:rsid w:val="003714AE"/>
    <w:rsid w:val="00374108"/>
    <w:rsid w:val="00377595"/>
    <w:rsid w:val="0037794A"/>
    <w:rsid w:val="00384744"/>
    <w:rsid w:val="00385282"/>
    <w:rsid w:val="0038547F"/>
    <w:rsid w:val="00385DAF"/>
    <w:rsid w:val="003908A3"/>
    <w:rsid w:val="003A39B1"/>
    <w:rsid w:val="003A54E4"/>
    <w:rsid w:val="003B2D87"/>
    <w:rsid w:val="003C4C13"/>
    <w:rsid w:val="003D1AF9"/>
    <w:rsid w:val="003E2CDC"/>
    <w:rsid w:val="003E3005"/>
    <w:rsid w:val="00400A41"/>
    <w:rsid w:val="00404B43"/>
    <w:rsid w:val="004060C4"/>
    <w:rsid w:val="00410DC4"/>
    <w:rsid w:val="00412E63"/>
    <w:rsid w:val="004169CC"/>
    <w:rsid w:val="00431CFD"/>
    <w:rsid w:val="00435826"/>
    <w:rsid w:val="004471C8"/>
    <w:rsid w:val="004754F5"/>
    <w:rsid w:val="004771F7"/>
    <w:rsid w:val="004B0EEA"/>
    <w:rsid w:val="004B1C99"/>
    <w:rsid w:val="004B215D"/>
    <w:rsid w:val="004C08C4"/>
    <w:rsid w:val="004C7433"/>
    <w:rsid w:val="004E0A81"/>
    <w:rsid w:val="004E7C3C"/>
    <w:rsid w:val="005016CD"/>
    <w:rsid w:val="005121C9"/>
    <w:rsid w:val="00512F28"/>
    <w:rsid w:val="00514A70"/>
    <w:rsid w:val="00525E9F"/>
    <w:rsid w:val="00536CF2"/>
    <w:rsid w:val="00537288"/>
    <w:rsid w:val="00542B72"/>
    <w:rsid w:val="00543CA6"/>
    <w:rsid w:val="005452F1"/>
    <w:rsid w:val="00550957"/>
    <w:rsid w:val="005700BA"/>
    <w:rsid w:val="00571C98"/>
    <w:rsid w:val="00572382"/>
    <w:rsid w:val="00595D6B"/>
    <w:rsid w:val="005A78AD"/>
    <w:rsid w:val="005B0A50"/>
    <w:rsid w:val="005B64CF"/>
    <w:rsid w:val="005B66A1"/>
    <w:rsid w:val="005C0E26"/>
    <w:rsid w:val="005C290B"/>
    <w:rsid w:val="005C2C2C"/>
    <w:rsid w:val="005C372C"/>
    <w:rsid w:val="005E09CC"/>
    <w:rsid w:val="005E462E"/>
    <w:rsid w:val="005E50F1"/>
    <w:rsid w:val="005E734D"/>
    <w:rsid w:val="006025CA"/>
    <w:rsid w:val="00604BFD"/>
    <w:rsid w:val="00612C56"/>
    <w:rsid w:val="00615AB4"/>
    <w:rsid w:val="0061746E"/>
    <w:rsid w:val="00627F8B"/>
    <w:rsid w:val="00637AB2"/>
    <w:rsid w:val="00642AAF"/>
    <w:rsid w:val="0064646B"/>
    <w:rsid w:val="00651640"/>
    <w:rsid w:val="00651B09"/>
    <w:rsid w:val="006732FC"/>
    <w:rsid w:val="00673AA6"/>
    <w:rsid w:val="0067430E"/>
    <w:rsid w:val="00674668"/>
    <w:rsid w:val="00675756"/>
    <w:rsid w:val="00675A74"/>
    <w:rsid w:val="006818E5"/>
    <w:rsid w:val="006A106D"/>
    <w:rsid w:val="006A43E8"/>
    <w:rsid w:val="006B0FCC"/>
    <w:rsid w:val="006B1D75"/>
    <w:rsid w:val="006C0723"/>
    <w:rsid w:val="006D5BBB"/>
    <w:rsid w:val="006E6F7E"/>
    <w:rsid w:val="006F2BAF"/>
    <w:rsid w:val="006F61D6"/>
    <w:rsid w:val="0072301C"/>
    <w:rsid w:val="007410E4"/>
    <w:rsid w:val="007533D8"/>
    <w:rsid w:val="00753821"/>
    <w:rsid w:val="00761B20"/>
    <w:rsid w:val="00763425"/>
    <w:rsid w:val="00763D0B"/>
    <w:rsid w:val="007675A8"/>
    <w:rsid w:val="00771E97"/>
    <w:rsid w:val="00793483"/>
    <w:rsid w:val="00793CAB"/>
    <w:rsid w:val="00797681"/>
    <w:rsid w:val="007B0F03"/>
    <w:rsid w:val="007C4ABF"/>
    <w:rsid w:val="007D16C4"/>
    <w:rsid w:val="007D51B4"/>
    <w:rsid w:val="00802FBC"/>
    <w:rsid w:val="0081622C"/>
    <w:rsid w:val="008304BB"/>
    <w:rsid w:val="0083204C"/>
    <w:rsid w:val="00833AA6"/>
    <w:rsid w:val="00834FDF"/>
    <w:rsid w:val="008353A0"/>
    <w:rsid w:val="00846B08"/>
    <w:rsid w:val="00856AB3"/>
    <w:rsid w:val="0086653B"/>
    <w:rsid w:val="00866C76"/>
    <w:rsid w:val="008866D9"/>
    <w:rsid w:val="008B3227"/>
    <w:rsid w:val="008D6279"/>
    <w:rsid w:val="008E1ED9"/>
    <w:rsid w:val="008E2FC8"/>
    <w:rsid w:val="008F7948"/>
    <w:rsid w:val="00945FAC"/>
    <w:rsid w:val="00947FD4"/>
    <w:rsid w:val="00953240"/>
    <w:rsid w:val="00963793"/>
    <w:rsid w:val="00964DA1"/>
    <w:rsid w:val="00983517"/>
    <w:rsid w:val="009862FE"/>
    <w:rsid w:val="00995443"/>
    <w:rsid w:val="00995BF4"/>
    <w:rsid w:val="00995C58"/>
    <w:rsid w:val="00996869"/>
    <w:rsid w:val="00996BB2"/>
    <w:rsid w:val="009C1687"/>
    <w:rsid w:val="009C2D93"/>
    <w:rsid w:val="009D748B"/>
    <w:rsid w:val="009D7B62"/>
    <w:rsid w:val="00A01A29"/>
    <w:rsid w:val="00A446C7"/>
    <w:rsid w:val="00A62D54"/>
    <w:rsid w:val="00A7611C"/>
    <w:rsid w:val="00A91B2E"/>
    <w:rsid w:val="00A9731C"/>
    <w:rsid w:val="00A9769D"/>
    <w:rsid w:val="00AA1CDF"/>
    <w:rsid w:val="00AB5F51"/>
    <w:rsid w:val="00AC5C6F"/>
    <w:rsid w:val="00AD22B9"/>
    <w:rsid w:val="00AD6351"/>
    <w:rsid w:val="00AD7230"/>
    <w:rsid w:val="00AE4BC4"/>
    <w:rsid w:val="00B04808"/>
    <w:rsid w:val="00B07179"/>
    <w:rsid w:val="00B375FE"/>
    <w:rsid w:val="00B42583"/>
    <w:rsid w:val="00B56F0E"/>
    <w:rsid w:val="00B60476"/>
    <w:rsid w:val="00B751CD"/>
    <w:rsid w:val="00B773C2"/>
    <w:rsid w:val="00B90C1C"/>
    <w:rsid w:val="00BA1F80"/>
    <w:rsid w:val="00BA5C60"/>
    <w:rsid w:val="00BB1893"/>
    <w:rsid w:val="00BB2E32"/>
    <w:rsid w:val="00BB481C"/>
    <w:rsid w:val="00BC56D1"/>
    <w:rsid w:val="00BC6C32"/>
    <w:rsid w:val="00BD365D"/>
    <w:rsid w:val="00BE07AB"/>
    <w:rsid w:val="00BF3730"/>
    <w:rsid w:val="00C111F7"/>
    <w:rsid w:val="00C162D1"/>
    <w:rsid w:val="00C35E03"/>
    <w:rsid w:val="00C56A38"/>
    <w:rsid w:val="00C70B83"/>
    <w:rsid w:val="00C7403D"/>
    <w:rsid w:val="00C77BD7"/>
    <w:rsid w:val="00C83448"/>
    <w:rsid w:val="00C83EF1"/>
    <w:rsid w:val="00C851C6"/>
    <w:rsid w:val="00C86541"/>
    <w:rsid w:val="00CB6516"/>
    <w:rsid w:val="00CC16A4"/>
    <w:rsid w:val="00CC35D0"/>
    <w:rsid w:val="00CC7B27"/>
    <w:rsid w:val="00CE0F89"/>
    <w:rsid w:val="00D20D08"/>
    <w:rsid w:val="00D23451"/>
    <w:rsid w:val="00D23966"/>
    <w:rsid w:val="00D26073"/>
    <w:rsid w:val="00D264E0"/>
    <w:rsid w:val="00D265D4"/>
    <w:rsid w:val="00D2695E"/>
    <w:rsid w:val="00D36566"/>
    <w:rsid w:val="00D37F58"/>
    <w:rsid w:val="00D40053"/>
    <w:rsid w:val="00D45CD4"/>
    <w:rsid w:val="00D765C8"/>
    <w:rsid w:val="00D87BE5"/>
    <w:rsid w:val="00D931D2"/>
    <w:rsid w:val="00DB59C0"/>
    <w:rsid w:val="00DC0C2D"/>
    <w:rsid w:val="00DD3821"/>
    <w:rsid w:val="00DE14CF"/>
    <w:rsid w:val="00DE3C5B"/>
    <w:rsid w:val="00DF019B"/>
    <w:rsid w:val="00E00580"/>
    <w:rsid w:val="00E10286"/>
    <w:rsid w:val="00E15756"/>
    <w:rsid w:val="00E45175"/>
    <w:rsid w:val="00E613FF"/>
    <w:rsid w:val="00E76082"/>
    <w:rsid w:val="00E82109"/>
    <w:rsid w:val="00E90D63"/>
    <w:rsid w:val="00E93D35"/>
    <w:rsid w:val="00E943FC"/>
    <w:rsid w:val="00E964C5"/>
    <w:rsid w:val="00EC0BB3"/>
    <w:rsid w:val="00EC602C"/>
    <w:rsid w:val="00EE2CDB"/>
    <w:rsid w:val="00EE53DC"/>
    <w:rsid w:val="00EF64F2"/>
    <w:rsid w:val="00EF73AD"/>
    <w:rsid w:val="00F00A65"/>
    <w:rsid w:val="00F12730"/>
    <w:rsid w:val="00F277E0"/>
    <w:rsid w:val="00F4423D"/>
    <w:rsid w:val="00F51FD8"/>
    <w:rsid w:val="00F622AF"/>
    <w:rsid w:val="00F840B0"/>
    <w:rsid w:val="00F86CD9"/>
    <w:rsid w:val="00FA3F67"/>
    <w:rsid w:val="00FB1E36"/>
    <w:rsid w:val="00FC4344"/>
    <w:rsid w:val="00FC685F"/>
    <w:rsid w:val="00FD51D7"/>
    <w:rsid w:val="00FF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83F0"/>
  <w15:chartTrackingRefBased/>
  <w15:docId w15:val="{C8C3F58C-A9C4-4D03-9D76-41B1B2CE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F1"/>
    <w:pPr>
      <w:spacing w:line="259" w:lineRule="auto"/>
      <w:ind w:left="720"/>
      <w:contextualSpacing/>
    </w:pPr>
  </w:style>
  <w:style w:type="table" w:styleId="TableGrid">
    <w:name w:val="Table Grid"/>
    <w:basedOn w:val="TableNormal"/>
    <w:uiPriority w:val="39"/>
    <w:rsid w:val="00EE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375FE"/>
  </w:style>
  <w:style w:type="paragraph" w:styleId="NormalWeb">
    <w:name w:val="Normal (Web)"/>
    <w:basedOn w:val="Normal"/>
    <w:uiPriority w:val="99"/>
    <w:semiHidden/>
    <w:unhideWhenUsed/>
    <w:rsid w:val="00771E97"/>
    <w:pPr>
      <w:spacing w:before="100" w:beforeAutospacing="1" w:after="100" w:afterAutospacing="1" w:line="240" w:lineRule="auto"/>
    </w:pPr>
    <w:rPr>
      <w:rFonts w:ascii="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6263">
      <w:bodyDiv w:val="1"/>
      <w:marLeft w:val="0"/>
      <w:marRight w:val="0"/>
      <w:marTop w:val="0"/>
      <w:marBottom w:val="0"/>
      <w:divBdr>
        <w:top w:val="none" w:sz="0" w:space="0" w:color="auto"/>
        <w:left w:val="none" w:sz="0" w:space="0" w:color="auto"/>
        <w:bottom w:val="none" w:sz="0" w:space="0" w:color="auto"/>
        <w:right w:val="none" w:sz="0" w:space="0" w:color="auto"/>
      </w:divBdr>
    </w:div>
    <w:div w:id="271326458">
      <w:bodyDiv w:val="1"/>
      <w:marLeft w:val="0"/>
      <w:marRight w:val="0"/>
      <w:marTop w:val="0"/>
      <w:marBottom w:val="0"/>
      <w:divBdr>
        <w:top w:val="none" w:sz="0" w:space="0" w:color="auto"/>
        <w:left w:val="none" w:sz="0" w:space="0" w:color="auto"/>
        <w:bottom w:val="none" w:sz="0" w:space="0" w:color="auto"/>
        <w:right w:val="none" w:sz="0" w:space="0" w:color="auto"/>
      </w:divBdr>
    </w:div>
    <w:div w:id="331567921">
      <w:bodyDiv w:val="1"/>
      <w:marLeft w:val="0"/>
      <w:marRight w:val="0"/>
      <w:marTop w:val="0"/>
      <w:marBottom w:val="0"/>
      <w:divBdr>
        <w:top w:val="none" w:sz="0" w:space="0" w:color="auto"/>
        <w:left w:val="none" w:sz="0" w:space="0" w:color="auto"/>
        <w:bottom w:val="none" w:sz="0" w:space="0" w:color="auto"/>
        <w:right w:val="none" w:sz="0" w:space="0" w:color="auto"/>
      </w:divBdr>
    </w:div>
    <w:div w:id="366220551">
      <w:bodyDiv w:val="1"/>
      <w:marLeft w:val="0"/>
      <w:marRight w:val="0"/>
      <w:marTop w:val="0"/>
      <w:marBottom w:val="0"/>
      <w:divBdr>
        <w:top w:val="none" w:sz="0" w:space="0" w:color="auto"/>
        <w:left w:val="none" w:sz="0" w:space="0" w:color="auto"/>
        <w:bottom w:val="none" w:sz="0" w:space="0" w:color="auto"/>
        <w:right w:val="none" w:sz="0" w:space="0" w:color="auto"/>
      </w:divBdr>
    </w:div>
    <w:div w:id="706375696">
      <w:bodyDiv w:val="1"/>
      <w:marLeft w:val="0"/>
      <w:marRight w:val="0"/>
      <w:marTop w:val="0"/>
      <w:marBottom w:val="0"/>
      <w:divBdr>
        <w:top w:val="none" w:sz="0" w:space="0" w:color="auto"/>
        <w:left w:val="none" w:sz="0" w:space="0" w:color="auto"/>
        <w:bottom w:val="none" w:sz="0" w:space="0" w:color="auto"/>
        <w:right w:val="none" w:sz="0" w:space="0" w:color="auto"/>
      </w:divBdr>
    </w:div>
    <w:div w:id="1038511915">
      <w:bodyDiv w:val="1"/>
      <w:marLeft w:val="0"/>
      <w:marRight w:val="0"/>
      <w:marTop w:val="0"/>
      <w:marBottom w:val="0"/>
      <w:divBdr>
        <w:top w:val="none" w:sz="0" w:space="0" w:color="auto"/>
        <w:left w:val="none" w:sz="0" w:space="0" w:color="auto"/>
        <w:bottom w:val="none" w:sz="0" w:space="0" w:color="auto"/>
        <w:right w:val="none" w:sz="0" w:space="0" w:color="auto"/>
      </w:divBdr>
    </w:div>
    <w:div w:id="1045570250">
      <w:bodyDiv w:val="1"/>
      <w:marLeft w:val="0"/>
      <w:marRight w:val="0"/>
      <w:marTop w:val="0"/>
      <w:marBottom w:val="0"/>
      <w:divBdr>
        <w:top w:val="none" w:sz="0" w:space="0" w:color="auto"/>
        <w:left w:val="none" w:sz="0" w:space="0" w:color="auto"/>
        <w:bottom w:val="none" w:sz="0" w:space="0" w:color="auto"/>
        <w:right w:val="none" w:sz="0" w:space="0" w:color="auto"/>
      </w:divBdr>
      <w:divsChild>
        <w:div w:id="1994486282">
          <w:marLeft w:val="0"/>
          <w:marRight w:val="0"/>
          <w:marTop w:val="0"/>
          <w:marBottom w:val="0"/>
          <w:divBdr>
            <w:top w:val="none" w:sz="0" w:space="0" w:color="auto"/>
            <w:left w:val="none" w:sz="0" w:space="0" w:color="auto"/>
            <w:bottom w:val="none" w:sz="0" w:space="0" w:color="auto"/>
            <w:right w:val="none" w:sz="0" w:space="0" w:color="auto"/>
          </w:divBdr>
          <w:divsChild>
            <w:div w:id="659193474">
              <w:marLeft w:val="0"/>
              <w:marRight w:val="0"/>
              <w:marTop w:val="0"/>
              <w:marBottom w:val="0"/>
              <w:divBdr>
                <w:top w:val="none" w:sz="0" w:space="0" w:color="auto"/>
                <w:left w:val="none" w:sz="0" w:space="0" w:color="auto"/>
                <w:bottom w:val="none" w:sz="0" w:space="0" w:color="auto"/>
                <w:right w:val="none" w:sz="0" w:space="0" w:color="auto"/>
              </w:divBdr>
              <w:divsChild>
                <w:div w:id="1639187160">
                  <w:marLeft w:val="0"/>
                  <w:marRight w:val="0"/>
                  <w:marTop w:val="0"/>
                  <w:marBottom w:val="0"/>
                  <w:divBdr>
                    <w:top w:val="none" w:sz="0" w:space="0" w:color="auto"/>
                    <w:left w:val="none" w:sz="0" w:space="0" w:color="auto"/>
                    <w:bottom w:val="none" w:sz="0" w:space="0" w:color="auto"/>
                    <w:right w:val="none" w:sz="0" w:space="0" w:color="auto"/>
                  </w:divBdr>
                  <w:divsChild>
                    <w:div w:id="2079546574">
                      <w:marLeft w:val="120"/>
                      <w:marRight w:val="120"/>
                      <w:marTop w:val="60"/>
                      <w:marBottom w:val="75"/>
                      <w:divBdr>
                        <w:top w:val="none" w:sz="0" w:space="0" w:color="auto"/>
                        <w:left w:val="none" w:sz="0" w:space="0" w:color="auto"/>
                        <w:bottom w:val="none" w:sz="0" w:space="0" w:color="auto"/>
                        <w:right w:val="none" w:sz="0" w:space="0" w:color="auto"/>
                      </w:divBdr>
                      <w:divsChild>
                        <w:div w:id="17310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6250">
          <w:marLeft w:val="0"/>
          <w:marRight w:val="0"/>
          <w:marTop w:val="0"/>
          <w:marBottom w:val="0"/>
          <w:divBdr>
            <w:top w:val="none" w:sz="0" w:space="0" w:color="auto"/>
            <w:left w:val="none" w:sz="0" w:space="0" w:color="auto"/>
            <w:bottom w:val="none" w:sz="0" w:space="0" w:color="auto"/>
            <w:right w:val="none" w:sz="0" w:space="0" w:color="auto"/>
          </w:divBdr>
          <w:divsChild>
            <w:div w:id="1077168533">
              <w:marLeft w:val="0"/>
              <w:marRight w:val="0"/>
              <w:marTop w:val="0"/>
              <w:marBottom w:val="0"/>
              <w:divBdr>
                <w:top w:val="none" w:sz="0" w:space="0" w:color="auto"/>
                <w:left w:val="none" w:sz="0" w:space="0" w:color="auto"/>
                <w:bottom w:val="none" w:sz="0" w:space="0" w:color="auto"/>
                <w:right w:val="none" w:sz="0" w:space="0" w:color="auto"/>
              </w:divBdr>
              <w:divsChild>
                <w:div w:id="1406992516">
                  <w:marLeft w:val="0"/>
                  <w:marRight w:val="0"/>
                  <w:marTop w:val="0"/>
                  <w:marBottom w:val="0"/>
                  <w:divBdr>
                    <w:top w:val="none" w:sz="0" w:space="0" w:color="auto"/>
                    <w:left w:val="none" w:sz="0" w:space="0" w:color="auto"/>
                    <w:bottom w:val="none" w:sz="0" w:space="0" w:color="auto"/>
                    <w:right w:val="none" w:sz="0" w:space="0" w:color="auto"/>
                  </w:divBdr>
                  <w:divsChild>
                    <w:div w:id="1286429347">
                      <w:marLeft w:val="120"/>
                      <w:marRight w:val="120"/>
                      <w:marTop w:val="60"/>
                      <w:marBottom w:val="75"/>
                      <w:divBdr>
                        <w:top w:val="none" w:sz="0" w:space="0" w:color="auto"/>
                        <w:left w:val="none" w:sz="0" w:space="0" w:color="auto"/>
                        <w:bottom w:val="none" w:sz="0" w:space="0" w:color="auto"/>
                        <w:right w:val="none" w:sz="0" w:space="0" w:color="auto"/>
                      </w:divBdr>
                      <w:divsChild>
                        <w:div w:id="415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6517">
          <w:marLeft w:val="0"/>
          <w:marRight w:val="0"/>
          <w:marTop w:val="0"/>
          <w:marBottom w:val="0"/>
          <w:divBdr>
            <w:top w:val="none" w:sz="0" w:space="0" w:color="auto"/>
            <w:left w:val="none" w:sz="0" w:space="0" w:color="auto"/>
            <w:bottom w:val="none" w:sz="0" w:space="0" w:color="auto"/>
            <w:right w:val="none" w:sz="0" w:space="0" w:color="auto"/>
          </w:divBdr>
          <w:divsChild>
            <w:div w:id="1649363631">
              <w:marLeft w:val="0"/>
              <w:marRight w:val="0"/>
              <w:marTop w:val="0"/>
              <w:marBottom w:val="0"/>
              <w:divBdr>
                <w:top w:val="none" w:sz="0" w:space="0" w:color="auto"/>
                <w:left w:val="none" w:sz="0" w:space="0" w:color="auto"/>
                <w:bottom w:val="none" w:sz="0" w:space="0" w:color="auto"/>
                <w:right w:val="none" w:sz="0" w:space="0" w:color="auto"/>
              </w:divBdr>
              <w:divsChild>
                <w:div w:id="1343241743">
                  <w:marLeft w:val="0"/>
                  <w:marRight w:val="0"/>
                  <w:marTop w:val="0"/>
                  <w:marBottom w:val="0"/>
                  <w:divBdr>
                    <w:top w:val="none" w:sz="0" w:space="0" w:color="auto"/>
                    <w:left w:val="none" w:sz="0" w:space="0" w:color="auto"/>
                    <w:bottom w:val="none" w:sz="0" w:space="0" w:color="auto"/>
                    <w:right w:val="none" w:sz="0" w:space="0" w:color="auto"/>
                  </w:divBdr>
                  <w:divsChild>
                    <w:div w:id="106530314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051610689">
      <w:bodyDiv w:val="1"/>
      <w:marLeft w:val="0"/>
      <w:marRight w:val="0"/>
      <w:marTop w:val="0"/>
      <w:marBottom w:val="0"/>
      <w:divBdr>
        <w:top w:val="none" w:sz="0" w:space="0" w:color="auto"/>
        <w:left w:val="none" w:sz="0" w:space="0" w:color="auto"/>
        <w:bottom w:val="none" w:sz="0" w:space="0" w:color="auto"/>
        <w:right w:val="none" w:sz="0" w:space="0" w:color="auto"/>
      </w:divBdr>
    </w:div>
    <w:div w:id="1268078703">
      <w:bodyDiv w:val="1"/>
      <w:marLeft w:val="0"/>
      <w:marRight w:val="0"/>
      <w:marTop w:val="0"/>
      <w:marBottom w:val="0"/>
      <w:divBdr>
        <w:top w:val="none" w:sz="0" w:space="0" w:color="auto"/>
        <w:left w:val="none" w:sz="0" w:space="0" w:color="auto"/>
        <w:bottom w:val="none" w:sz="0" w:space="0" w:color="auto"/>
        <w:right w:val="none" w:sz="0" w:space="0" w:color="auto"/>
      </w:divBdr>
    </w:div>
    <w:div w:id="1305700460">
      <w:bodyDiv w:val="1"/>
      <w:marLeft w:val="0"/>
      <w:marRight w:val="0"/>
      <w:marTop w:val="0"/>
      <w:marBottom w:val="0"/>
      <w:divBdr>
        <w:top w:val="none" w:sz="0" w:space="0" w:color="auto"/>
        <w:left w:val="none" w:sz="0" w:space="0" w:color="auto"/>
        <w:bottom w:val="none" w:sz="0" w:space="0" w:color="auto"/>
        <w:right w:val="none" w:sz="0" w:space="0" w:color="auto"/>
      </w:divBdr>
    </w:div>
    <w:div w:id="1308314234">
      <w:bodyDiv w:val="1"/>
      <w:marLeft w:val="0"/>
      <w:marRight w:val="0"/>
      <w:marTop w:val="0"/>
      <w:marBottom w:val="0"/>
      <w:divBdr>
        <w:top w:val="none" w:sz="0" w:space="0" w:color="auto"/>
        <w:left w:val="none" w:sz="0" w:space="0" w:color="auto"/>
        <w:bottom w:val="none" w:sz="0" w:space="0" w:color="auto"/>
        <w:right w:val="none" w:sz="0" w:space="0" w:color="auto"/>
      </w:divBdr>
    </w:div>
    <w:div w:id="1312980883">
      <w:bodyDiv w:val="1"/>
      <w:marLeft w:val="0"/>
      <w:marRight w:val="0"/>
      <w:marTop w:val="0"/>
      <w:marBottom w:val="0"/>
      <w:divBdr>
        <w:top w:val="none" w:sz="0" w:space="0" w:color="auto"/>
        <w:left w:val="none" w:sz="0" w:space="0" w:color="auto"/>
        <w:bottom w:val="none" w:sz="0" w:space="0" w:color="auto"/>
        <w:right w:val="none" w:sz="0" w:space="0" w:color="auto"/>
      </w:divBdr>
    </w:div>
    <w:div w:id="1361860084">
      <w:bodyDiv w:val="1"/>
      <w:marLeft w:val="0"/>
      <w:marRight w:val="0"/>
      <w:marTop w:val="0"/>
      <w:marBottom w:val="0"/>
      <w:divBdr>
        <w:top w:val="none" w:sz="0" w:space="0" w:color="auto"/>
        <w:left w:val="none" w:sz="0" w:space="0" w:color="auto"/>
        <w:bottom w:val="none" w:sz="0" w:space="0" w:color="auto"/>
        <w:right w:val="none" w:sz="0" w:space="0" w:color="auto"/>
      </w:divBdr>
    </w:div>
    <w:div w:id="1387148813">
      <w:bodyDiv w:val="1"/>
      <w:marLeft w:val="0"/>
      <w:marRight w:val="0"/>
      <w:marTop w:val="0"/>
      <w:marBottom w:val="0"/>
      <w:divBdr>
        <w:top w:val="none" w:sz="0" w:space="0" w:color="auto"/>
        <w:left w:val="none" w:sz="0" w:space="0" w:color="auto"/>
        <w:bottom w:val="none" w:sz="0" w:space="0" w:color="auto"/>
        <w:right w:val="none" w:sz="0" w:space="0" w:color="auto"/>
      </w:divBdr>
    </w:div>
    <w:div w:id="1401369557">
      <w:bodyDiv w:val="1"/>
      <w:marLeft w:val="0"/>
      <w:marRight w:val="0"/>
      <w:marTop w:val="0"/>
      <w:marBottom w:val="0"/>
      <w:divBdr>
        <w:top w:val="none" w:sz="0" w:space="0" w:color="auto"/>
        <w:left w:val="none" w:sz="0" w:space="0" w:color="auto"/>
        <w:bottom w:val="none" w:sz="0" w:space="0" w:color="auto"/>
        <w:right w:val="none" w:sz="0" w:space="0" w:color="auto"/>
      </w:divBdr>
    </w:div>
    <w:div w:id="1739089078">
      <w:bodyDiv w:val="1"/>
      <w:marLeft w:val="0"/>
      <w:marRight w:val="0"/>
      <w:marTop w:val="0"/>
      <w:marBottom w:val="0"/>
      <w:divBdr>
        <w:top w:val="none" w:sz="0" w:space="0" w:color="auto"/>
        <w:left w:val="none" w:sz="0" w:space="0" w:color="auto"/>
        <w:bottom w:val="none" w:sz="0" w:space="0" w:color="auto"/>
        <w:right w:val="none" w:sz="0" w:space="0" w:color="auto"/>
      </w:divBdr>
    </w:div>
    <w:div w:id="1824663367">
      <w:bodyDiv w:val="1"/>
      <w:marLeft w:val="0"/>
      <w:marRight w:val="0"/>
      <w:marTop w:val="0"/>
      <w:marBottom w:val="0"/>
      <w:divBdr>
        <w:top w:val="none" w:sz="0" w:space="0" w:color="auto"/>
        <w:left w:val="none" w:sz="0" w:space="0" w:color="auto"/>
        <w:bottom w:val="none" w:sz="0" w:space="0" w:color="auto"/>
        <w:right w:val="none" w:sz="0" w:space="0" w:color="auto"/>
      </w:divBdr>
    </w:div>
    <w:div w:id="2042364621">
      <w:bodyDiv w:val="1"/>
      <w:marLeft w:val="0"/>
      <w:marRight w:val="0"/>
      <w:marTop w:val="0"/>
      <w:marBottom w:val="0"/>
      <w:divBdr>
        <w:top w:val="none" w:sz="0" w:space="0" w:color="auto"/>
        <w:left w:val="none" w:sz="0" w:space="0" w:color="auto"/>
        <w:bottom w:val="none" w:sz="0" w:space="0" w:color="auto"/>
        <w:right w:val="none" w:sz="0" w:space="0" w:color="auto"/>
      </w:divBdr>
    </w:div>
    <w:div w:id="2057699682">
      <w:bodyDiv w:val="1"/>
      <w:marLeft w:val="0"/>
      <w:marRight w:val="0"/>
      <w:marTop w:val="0"/>
      <w:marBottom w:val="0"/>
      <w:divBdr>
        <w:top w:val="none" w:sz="0" w:space="0" w:color="auto"/>
        <w:left w:val="none" w:sz="0" w:space="0" w:color="auto"/>
        <w:bottom w:val="none" w:sz="0" w:space="0" w:color="auto"/>
        <w:right w:val="none" w:sz="0" w:space="0" w:color="auto"/>
      </w:divBdr>
    </w:div>
    <w:div w:id="2094667640">
      <w:bodyDiv w:val="1"/>
      <w:marLeft w:val="0"/>
      <w:marRight w:val="0"/>
      <w:marTop w:val="0"/>
      <w:marBottom w:val="0"/>
      <w:divBdr>
        <w:top w:val="none" w:sz="0" w:space="0" w:color="auto"/>
        <w:left w:val="none" w:sz="0" w:space="0" w:color="auto"/>
        <w:bottom w:val="none" w:sz="0" w:space="0" w:color="auto"/>
        <w:right w:val="none" w:sz="0" w:space="0" w:color="auto"/>
      </w:divBdr>
    </w:div>
    <w:div w:id="2112046714">
      <w:bodyDiv w:val="1"/>
      <w:marLeft w:val="0"/>
      <w:marRight w:val="0"/>
      <w:marTop w:val="0"/>
      <w:marBottom w:val="0"/>
      <w:divBdr>
        <w:top w:val="none" w:sz="0" w:space="0" w:color="auto"/>
        <w:left w:val="none" w:sz="0" w:space="0" w:color="auto"/>
        <w:bottom w:val="none" w:sz="0" w:space="0" w:color="auto"/>
        <w:right w:val="none" w:sz="0" w:space="0" w:color="auto"/>
      </w:divBdr>
    </w:div>
    <w:div w:id="2123919897">
      <w:bodyDiv w:val="1"/>
      <w:marLeft w:val="0"/>
      <w:marRight w:val="0"/>
      <w:marTop w:val="0"/>
      <w:marBottom w:val="0"/>
      <w:divBdr>
        <w:top w:val="none" w:sz="0" w:space="0" w:color="auto"/>
        <w:left w:val="none" w:sz="0" w:space="0" w:color="auto"/>
        <w:bottom w:val="none" w:sz="0" w:space="0" w:color="auto"/>
        <w:right w:val="none" w:sz="0" w:space="0" w:color="auto"/>
      </w:divBdr>
    </w:div>
    <w:div w:id="21363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Subject Matter of Appeals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Murojaat mazmuni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AFC-4CAE-9D96-2A0801EF138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AFC-4CAE-9D96-2A0801EF138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AFC-4CAE-9D96-2A0801EF138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AFC-4CAE-9D96-2A0801EF138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AFC-4CAE-9D96-2A0801EF1388}"/>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AFC-4CAE-9D96-2A0801EF138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AFC-4CAE-9D96-2A0801EF1388}"/>
              </c:ext>
            </c:extLst>
          </c:dPt>
          <c:dLbls>
            <c:dLbl>
              <c:idx val="0"/>
              <c:tx>
                <c:rich>
                  <a:bodyPr/>
                  <a:lstStyle/>
                  <a:p>
                    <a:fld id="{C4D34612-235F-41ED-B71F-45148729D854}" type="VALUE">
                      <a:rPr lang="en-US"/>
                      <a:pPr/>
                      <a:t>[VALUE]</a:t>
                    </a:fld>
                    <a:endParaRPr lang="en-US"/>
                  </a:p>
                  <a:p>
                    <a:r>
                      <a:rPr lang="en-US" baseline="0"/>
                      <a:t> </a:t>
                    </a:r>
                    <a:fld id="{442B7D49-E1C0-4D8E-9BD6-C0107E7F342B}" type="PERCENTAGE">
                      <a:rPr lang="en-US" baseline="0"/>
                      <a:pPr/>
                      <a:t>[PERCENTAGE]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AFC-4CAE-9D96-2A0801EF1388}"/>
                </c:ext>
              </c:extLst>
            </c:dLbl>
            <c:dLbl>
              <c:idx val="1"/>
              <c:layout>
                <c:manualLayout>
                  <c:x val="-3.6048046077573635E-2"/>
                  <c:y val="0.11946225471816023"/>
                </c:manualLayout>
              </c:layout>
              <c:tx>
                <c:rich>
                  <a:bodyPr/>
                  <a:lstStyle/>
                  <a:p>
                    <a:fld id="{06F80EB4-F0BA-4CC0-9E4C-E57FB29712F5}" type="VALUE">
                      <a:rPr lang="en-US"/>
                      <a:pPr/>
                      <a:t>[VALUE]</a:t>
                    </a:fld>
                    <a:endParaRPr lang="en-US" baseline="0"/>
                  </a:p>
                  <a:p>
                    <a:fld id="{453136D3-2BC5-4FBD-8DC1-754912EBF0C5}" type="PERCENTAGE">
                      <a:rPr lang="en-US" baseline="0"/>
                      <a:pPr/>
                      <a:t>[PERCENTAGE]</a:t>
                    </a:fld>
                    <a:endParaRPr lang="ru-RU"/>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AFC-4CAE-9D96-2A0801EF1388}"/>
                </c:ext>
              </c:extLst>
            </c:dLbl>
            <c:dLbl>
              <c:idx val="2"/>
              <c:layout>
                <c:manualLayout>
                  <c:x val="-5.0082567804024494E-2"/>
                  <c:y val="0.11558867641544807"/>
                </c:manualLayout>
              </c:layout>
              <c:tx>
                <c:rich>
                  <a:bodyPr/>
                  <a:lstStyle/>
                  <a:p>
                    <a:fld id="{0615B6CA-B5B4-4681-95BC-70FC6F5BE7DA}" type="VALUE">
                      <a:rPr lang="en-US"/>
                      <a:pPr/>
                      <a:t>[VALUE]</a:t>
                    </a:fld>
                    <a:endParaRPr lang="en-US"/>
                  </a:p>
                  <a:p>
                    <a:r>
                      <a:rPr lang="en-US" baseline="0"/>
                      <a:t> </a:t>
                    </a:r>
                    <a:fld id="{9B1A1D62-2BC4-487F-B9C9-77AA03CF520A}"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AFC-4CAE-9D96-2A0801EF1388}"/>
                </c:ext>
              </c:extLst>
            </c:dLbl>
            <c:dLbl>
              <c:idx val="3"/>
              <c:tx>
                <c:rich>
                  <a:bodyPr/>
                  <a:lstStyle/>
                  <a:p>
                    <a:fld id="{23E3A785-17CE-40C0-932D-072B966997D2}" type="VALUE">
                      <a:rPr lang="en-US"/>
                      <a:pPr/>
                      <a:t>[VALUE]</a:t>
                    </a:fld>
                    <a:endParaRPr lang="en-US" baseline="0"/>
                  </a:p>
                  <a:p>
                    <a:fld id="{DB680C90-1437-4D97-B318-F65A2BB66F85}" type="PERCENTAGE">
                      <a:rPr lang="en-US" baseline="0"/>
                      <a:pPr/>
                      <a:t>[PERCENTAGE]</a:t>
                    </a:fld>
                    <a:endParaRPr lang="ru-RU"/>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AFC-4CAE-9D96-2A0801EF1388}"/>
                </c:ext>
              </c:extLst>
            </c:dLbl>
            <c:dLbl>
              <c:idx val="4"/>
              <c:layout>
                <c:manualLayout>
                  <c:x val="-8.6846566054243221E-2"/>
                  <c:y val="-0.1740938632670917"/>
                </c:manualLayout>
              </c:layout>
              <c:tx>
                <c:rich>
                  <a:bodyPr/>
                  <a:lstStyle/>
                  <a:p>
                    <a:fld id="{FEF1A350-2B1F-4F55-A963-D4862729C924}" type="VALUE">
                      <a:rPr lang="en-US"/>
                      <a:pPr/>
                      <a:t>[VALUE]</a:t>
                    </a:fld>
                    <a:endParaRPr lang="en-US"/>
                  </a:p>
                  <a:p>
                    <a:fld id="{1C37912B-51ED-44FE-8502-CD098FAE7369}" type="PERCENTAGE">
                      <a:rPr lang="en-US"/>
                      <a:pPr/>
                      <a:t>[PERCENTAGE]</a:t>
                    </a:fld>
                    <a:endParaRPr lang="ru-RU"/>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AFC-4CAE-9D96-2A0801EF1388}"/>
                </c:ext>
              </c:extLst>
            </c:dLbl>
            <c:dLbl>
              <c:idx val="5"/>
              <c:layout>
                <c:manualLayout>
                  <c:x val="-4.9619787109944594E-2"/>
                  <c:y val="-0.18650793650793665"/>
                </c:manualLayout>
              </c:layout>
              <c:tx>
                <c:rich>
                  <a:bodyPr/>
                  <a:lstStyle/>
                  <a:p>
                    <a:fld id="{6B6D2839-2301-47A4-ABA9-3A7A2BA063A0}" type="VALUE">
                      <a:rPr lang="en-US"/>
                      <a:pPr/>
                      <a:t>[VALUE]</a:t>
                    </a:fld>
                    <a:endParaRPr lang="en-US" baseline="0"/>
                  </a:p>
                  <a:p>
                    <a:r>
                      <a:rPr lang="en-US" baseline="0"/>
                      <a:t> </a:t>
                    </a:r>
                    <a:fld id="{D9C11A04-62C3-4C2B-8687-5AD500D15652}" type="PERCENTAGE">
                      <a:rPr lang="en-US" baseline="0"/>
                      <a:pPr/>
                      <a:t>[PERCENTAGE]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AFC-4CAE-9D96-2A0801EF1388}"/>
                </c:ext>
              </c:extLst>
            </c:dLbl>
            <c:dLbl>
              <c:idx val="6"/>
              <c:tx>
                <c:rich>
                  <a:bodyPr/>
                  <a:lstStyle/>
                  <a:p>
                    <a:fld id="{1A2B744C-E451-444C-934C-90F7B19B9E1F}" type="VALUE">
                      <a:rPr lang="en-US"/>
                      <a:pPr/>
                      <a:t>[VALUE]</a:t>
                    </a:fld>
                    <a:endParaRPr lang="en-US"/>
                  </a:p>
                  <a:p>
                    <a:r>
                      <a:rPr lang="en-US" baseline="0"/>
                      <a:t> </a:t>
                    </a:r>
                    <a:fld id="{E15865BD-F210-4EF2-9209-37C0293EA064}" type="PERCENTAGE">
                      <a:rPr lang="en-US" baseline="0"/>
                      <a:pPr/>
                      <a:t>[PERCENTAGE]</a:t>
                    </a:fld>
                    <a:endParaRPr lang="en-US" baseline="0"/>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AFC-4CAE-9D96-2A0801EF138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Payments systems and cashless settlements</c:v>
                </c:pt>
                <c:pt idx="1">
                  <c:v>Bank deposits and other deposit operations </c:v>
                </c:pt>
                <c:pt idx="2">
                  <c:v>Loans and credit operations</c:v>
                </c:pt>
                <c:pt idx="3">
                  <c:v>Banks cards and POS terminal services</c:v>
                </c:pt>
                <c:pt idx="4">
                  <c:v>Foreign exchange regulation and control</c:v>
                </c:pt>
                <c:pt idx="5">
                  <c:v>Conduct of Bank employees </c:v>
                </c:pt>
                <c:pt idx="6">
                  <c:v>Other matters</c:v>
                </c:pt>
              </c:strCache>
            </c:strRef>
          </c:cat>
          <c:val>
            <c:numRef>
              <c:f>Sheet1!$B$2:$B$8</c:f>
              <c:numCache>
                <c:formatCode>General</c:formatCode>
                <c:ptCount val="7"/>
                <c:pt idx="0">
                  <c:v>1</c:v>
                </c:pt>
                <c:pt idx="1">
                  <c:v>1</c:v>
                </c:pt>
                <c:pt idx="2">
                  <c:v>3</c:v>
                </c:pt>
                <c:pt idx="3">
                  <c:v>7</c:v>
                </c:pt>
                <c:pt idx="4">
                  <c:v>3</c:v>
                </c:pt>
                <c:pt idx="5">
                  <c:v>2</c:v>
                </c:pt>
                <c:pt idx="6">
                  <c:v>20</c:v>
                </c:pt>
              </c:numCache>
            </c:numRef>
          </c:val>
          <c:extLst>
            <c:ext xmlns:c16="http://schemas.microsoft.com/office/drawing/2014/chart" uri="{C3380CC4-5D6E-409C-BE32-E72D297353CC}">
              <c16:uniqueId val="{0000000E-5AFC-4CAE-9D96-2A0801EF138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kbb</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Goliba Inogamova</dc:creator>
  <cp:keywords/>
  <dc:description/>
  <cp:lastModifiedBy>Akbar Mukarov</cp:lastModifiedBy>
  <cp:revision>2</cp:revision>
  <cp:lastPrinted>2026-03-31T13:05:00Z</cp:lastPrinted>
  <dcterms:created xsi:type="dcterms:W3CDTF">2026-07-16T06:32:00Z</dcterms:created>
  <dcterms:modified xsi:type="dcterms:W3CDTF">2026-07-16T06:32:00Z</dcterms:modified>
</cp:coreProperties>
</file>