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50B27" w14:textId="77777777" w:rsidR="005D4AED" w:rsidRPr="00E975A7" w:rsidRDefault="005D4AED" w:rsidP="005D4AED">
      <w:pPr>
        <w:spacing w:before="60" w:after="80"/>
        <w:jc w:val="center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  <w:noProof/>
        </w:rPr>
        <w:drawing>
          <wp:inline distT="0" distB="0" distL="0" distR="0" wp14:anchorId="55DF9C06" wp14:editId="56101824">
            <wp:extent cx="2800350" cy="314325"/>
            <wp:effectExtent l="0" t="0" r="0" b="9525"/>
            <wp:docPr id="1" name="logo_hdr.png" descr="KDB Bank Uzbekistan" title="KDB Bank Uzbekis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457" cy="31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AFF6C" w14:textId="77777777" w:rsidR="005D4AED" w:rsidRPr="00E975A7" w:rsidRDefault="005D4AED">
      <w:pPr>
        <w:spacing w:after="100"/>
        <w:jc w:val="center"/>
        <w:rPr>
          <w:rFonts w:ascii="Times New Roman" w:hAnsi="Times New Roman" w:cs="Times New Roman"/>
          <w:b/>
          <w:bCs/>
          <w:color w:val="1F3A5F"/>
        </w:rPr>
      </w:pPr>
    </w:p>
    <w:p w14:paraId="6E797D7F" w14:textId="70438301" w:rsidR="002F4636" w:rsidRPr="00E975A7" w:rsidRDefault="0096430D">
      <w:pPr>
        <w:spacing w:after="100"/>
        <w:jc w:val="center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  <w:b/>
          <w:bCs/>
          <w:color w:val="1F3A5F"/>
        </w:rPr>
        <w:t>Аналитический отчёт об обращениях, поступивших в АО «</w:t>
      </w:r>
      <w:r w:rsidR="00741358">
        <w:rPr>
          <w:rFonts w:ascii="Times New Roman" w:hAnsi="Times New Roman" w:cs="Times New Roman"/>
          <w:b/>
          <w:bCs/>
          <w:color w:val="1F3A5F"/>
        </w:rPr>
        <w:t>КДБ Банк Узбекистан</w:t>
      </w:r>
      <w:r w:rsidRPr="00E975A7">
        <w:rPr>
          <w:rFonts w:ascii="Times New Roman" w:hAnsi="Times New Roman" w:cs="Times New Roman"/>
          <w:b/>
          <w:bCs/>
          <w:color w:val="1F3A5F"/>
        </w:rPr>
        <w:t>» от физических и юридических лиц в III квартале 2026 года, и их рассмотрении</w:t>
      </w:r>
    </w:p>
    <w:p w14:paraId="6F1790A2" w14:textId="182A24C2" w:rsidR="005D4AED" w:rsidRPr="00E975A7" w:rsidRDefault="005D4AED">
      <w:pPr>
        <w:spacing w:after="80" w:line="270" w:lineRule="auto"/>
        <w:jc w:val="both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</w:rPr>
        <w:t>В настоящем отчёте проанализированы обращения, поступившие в АО «</w:t>
      </w:r>
      <w:r w:rsidR="00741358" w:rsidRPr="003A5456">
        <w:rPr>
          <w:rFonts w:ascii="Times New Roman" w:hAnsi="Times New Roman" w:cs="Times New Roman"/>
          <w:color w:val="1F3A5F"/>
        </w:rPr>
        <w:t>КДБ Банк Узбекистан</w:t>
      </w:r>
      <w:r w:rsidRPr="00E975A7">
        <w:rPr>
          <w:rFonts w:ascii="Times New Roman" w:hAnsi="Times New Roman" w:cs="Times New Roman"/>
        </w:rPr>
        <w:t>», с освещением текущего состояния управления, выявленных негативных случаев, системных недостатков и отдельных рисков, а также изложены предлагаемые меры по устранению данных проблем.</w:t>
      </w:r>
    </w:p>
    <w:p w14:paraId="6737582F" w14:textId="77777777" w:rsidR="002F4636" w:rsidRPr="00E975A7" w:rsidRDefault="0096430D">
      <w:pPr>
        <w:keepNext/>
        <w:pBdr>
          <w:left w:val="single" w:sz="36" w:space="8" w:color="E9B44C"/>
        </w:pBdr>
        <w:spacing w:before="160" w:after="80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  <w:b/>
          <w:bCs/>
          <w:i/>
          <w:iCs/>
          <w:color w:val="1F3A5F"/>
        </w:rPr>
        <w:t>Статистический обзор</w:t>
      </w:r>
    </w:p>
    <w:tbl>
      <w:tblPr>
        <w:tblW w:w="7653" w:type="dxa"/>
        <w:tblInd w:w="1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</w:tblGrid>
      <w:tr w:rsidR="00DD4E01" w:rsidRPr="00E975A7" w14:paraId="4026AA82" w14:textId="77777777" w:rsidTr="00DD4E01">
        <w:tc>
          <w:tcPr>
            <w:tcW w:w="2551" w:type="dxa"/>
            <w:tcBorders>
              <w:top w:val="single" w:sz="24" w:space="0" w:color="1F3A5F"/>
              <w:left w:val="single" w:sz="14" w:space="0" w:color="FFFFFF"/>
              <w:bottom w:val="single" w:sz="6" w:space="0" w:color="FFFFFF"/>
              <w:right w:val="single" w:sz="14" w:space="0" w:color="FFFFFF"/>
            </w:tcBorders>
            <w:shd w:val="clear" w:color="auto" w:fill="EAF1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13EE4A1" w14:textId="77777777" w:rsidR="00DD4E01" w:rsidRPr="00E975A7" w:rsidRDefault="00DD4E01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46</w:t>
            </w:r>
          </w:p>
          <w:p w14:paraId="74D5E15B" w14:textId="77777777" w:rsidR="00DD4E01" w:rsidRPr="00E975A7" w:rsidRDefault="00DD4E01">
            <w:pPr>
              <w:spacing w:after="20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5B6B7F"/>
              </w:rPr>
              <w:t>Всего обращений</w:t>
            </w:r>
          </w:p>
          <w:p w14:paraId="4C335D57" w14:textId="77777777" w:rsidR="00DD4E01" w:rsidRPr="00E975A7" w:rsidRDefault="00DD4E01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B26A00"/>
              </w:rPr>
              <w:t>↑ +9 (+24%) к II кв.</w:t>
            </w:r>
          </w:p>
        </w:tc>
        <w:tc>
          <w:tcPr>
            <w:tcW w:w="2551" w:type="dxa"/>
            <w:tcBorders>
              <w:top w:val="single" w:sz="24" w:space="0" w:color="2A9D8F"/>
              <w:left w:val="single" w:sz="14" w:space="0" w:color="FFFFFF"/>
              <w:bottom w:val="single" w:sz="6" w:space="0" w:color="FFFFFF"/>
              <w:right w:val="single" w:sz="14" w:space="0" w:color="FFFFFF"/>
            </w:tcBorders>
            <w:shd w:val="clear" w:color="auto" w:fill="EAF1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990A10E" w14:textId="77777777" w:rsidR="00DD4E01" w:rsidRPr="00E975A7" w:rsidRDefault="00DD4E01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38</w:t>
            </w:r>
          </w:p>
          <w:p w14:paraId="6C7F76BE" w14:textId="77777777" w:rsidR="00DD4E01" w:rsidRPr="00E975A7" w:rsidRDefault="00DD4E01">
            <w:pPr>
              <w:spacing w:after="20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5B6B7F"/>
              </w:rPr>
              <w:t>Физические лица</w:t>
            </w:r>
          </w:p>
          <w:p w14:paraId="70FB3D00" w14:textId="77777777" w:rsidR="00DD4E01" w:rsidRPr="00E975A7" w:rsidRDefault="00DD4E01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B26A00"/>
              </w:rPr>
              <w:t>↑ 29 во II кв.</w:t>
            </w:r>
          </w:p>
        </w:tc>
        <w:tc>
          <w:tcPr>
            <w:tcW w:w="2551" w:type="dxa"/>
            <w:tcBorders>
              <w:top w:val="single" w:sz="24" w:space="0" w:color="E9B44C"/>
              <w:left w:val="single" w:sz="14" w:space="0" w:color="FFFFFF"/>
              <w:bottom w:val="single" w:sz="6" w:space="0" w:color="FFFFFF"/>
              <w:right w:val="single" w:sz="14" w:space="0" w:color="FFFFFF"/>
            </w:tcBorders>
            <w:shd w:val="clear" w:color="auto" w:fill="EAF1F8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1600B14" w14:textId="77777777" w:rsidR="00DD4E01" w:rsidRPr="00E975A7" w:rsidRDefault="00DD4E01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8</w:t>
            </w:r>
          </w:p>
          <w:p w14:paraId="0C95F5A1" w14:textId="77777777" w:rsidR="00DD4E01" w:rsidRPr="00E975A7" w:rsidRDefault="00DD4E01">
            <w:pPr>
              <w:spacing w:after="20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5B6B7F"/>
              </w:rPr>
              <w:t>Юридические лица</w:t>
            </w:r>
          </w:p>
          <w:p w14:paraId="6FFCE299" w14:textId="77777777" w:rsidR="00DD4E01" w:rsidRPr="00E975A7" w:rsidRDefault="00DD4E01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5B6B7F"/>
              </w:rPr>
              <w:t>→ без изм. к II кв.</w:t>
            </w:r>
          </w:p>
        </w:tc>
      </w:tr>
    </w:tbl>
    <w:p w14:paraId="75998746" w14:textId="76D35237" w:rsidR="00DD4E01" w:rsidRPr="00E975A7" w:rsidRDefault="00DD4E01">
      <w:pPr>
        <w:spacing w:after="60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</w:rPr>
        <w:t xml:space="preserve">   </w:t>
      </w:r>
    </w:p>
    <w:p w14:paraId="7101EC6F" w14:textId="77777777" w:rsidR="00F43118" w:rsidRPr="00E975A7" w:rsidRDefault="00F43118" w:rsidP="003F36E2">
      <w:pPr>
        <w:pStyle w:val="ListParagraph"/>
        <w:numPr>
          <w:ilvl w:val="0"/>
          <w:numId w:val="2"/>
        </w:numPr>
        <w:spacing w:before="60" w:after="60" w:line="268" w:lineRule="auto"/>
        <w:jc w:val="both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</w:rPr>
        <w:t>В III квартале 2026 года всего поступило 46 обращений: 38 заявлений, 7 жалоб и 1 предложение.</w:t>
      </w:r>
    </w:p>
    <w:p w14:paraId="271A2B57" w14:textId="641B6942" w:rsidR="005D4AED" w:rsidRPr="00E975A7" w:rsidRDefault="005D4AED">
      <w:pPr>
        <w:spacing w:after="60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</w:rPr>
        <w:t xml:space="preserve">              </w:t>
      </w:r>
      <w:r w:rsidRPr="00E975A7">
        <w:rPr>
          <w:rFonts w:ascii="Times New Roman" w:hAnsi="Times New Roman" w:cs="Times New Roman"/>
          <w:noProof/>
        </w:rPr>
        <w:drawing>
          <wp:inline distT="0" distB="0" distL="0" distR="0" wp14:anchorId="1DC28557" wp14:editId="18E7BDCF">
            <wp:extent cx="6032612" cy="2400300"/>
            <wp:effectExtent l="0" t="0" r="6350" b="0"/>
            <wp:docPr id="2" name="reg.png" descr="Обращения по регионам" title="Обращения по регион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003" cy="240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4E01" w:rsidRPr="00E975A7">
        <w:rPr>
          <w:rFonts w:ascii="Times New Roman" w:hAnsi="Times New Roman" w:cs="Times New Roman"/>
        </w:rPr>
        <w:t xml:space="preserve">      </w:t>
      </w:r>
    </w:p>
    <w:p w14:paraId="2F072CC9" w14:textId="301A973C" w:rsidR="00DD4E01" w:rsidRPr="00E975A7" w:rsidRDefault="00DD4E01">
      <w:pPr>
        <w:spacing w:after="60"/>
        <w:rPr>
          <w:rFonts w:ascii="Times New Roman" w:hAnsi="Times New Roman" w:cs="Times New Roman"/>
          <w:noProof/>
        </w:rPr>
      </w:pPr>
      <w:r w:rsidRPr="00E975A7">
        <w:rPr>
          <w:rFonts w:ascii="Times New Roman" w:hAnsi="Times New Roman" w:cs="Times New Roman"/>
        </w:rPr>
        <w:t xml:space="preserve">    </w:t>
      </w:r>
    </w:p>
    <w:p w14:paraId="168C5B5C" w14:textId="77777777" w:rsidR="00DD4E01" w:rsidRPr="00E975A7" w:rsidRDefault="00DD4E01">
      <w:pPr>
        <w:spacing w:before="40" w:after="40"/>
        <w:rPr>
          <w:rFonts w:ascii="Times New Roman" w:hAnsi="Times New Roman" w:cs="Times New Roman"/>
          <w:b/>
          <w:bCs/>
          <w:color w:val="1F3A5F"/>
        </w:rPr>
      </w:pPr>
    </w:p>
    <w:tbl>
      <w:tblPr>
        <w:tblpPr w:leftFromText="180" w:rightFromText="180" w:vertAnchor="text" w:horzAnchor="page" w:tblpX="1336" w:tblpY="124"/>
        <w:tblW w:w="11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  <w:gridCol w:w="2086"/>
      </w:tblGrid>
      <w:tr w:rsidR="002C106A" w:rsidRPr="0098110E" w14:paraId="5B934B12" w14:textId="77777777" w:rsidTr="002C106A">
        <w:tc>
          <w:tcPr>
            <w:tcW w:w="90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91FE15C" w14:textId="77777777" w:rsidR="002C106A" w:rsidRPr="00E975A7" w:rsidRDefault="002C106A" w:rsidP="002C106A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</w:rPr>
              <w:t xml:space="preserve">  </w:t>
            </w:r>
            <w:r w:rsidRPr="00E975A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B3C828" wp14:editId="7C426BF2">
                  <wp:extent cx="5419725" cy="3609975"/>
                  <wp:effectExtent l="0" t="0" r="9525" b="9525"/>
                  <wp:docPr id="3" name="pie.png" descr="Тематика обращений" title="Тематика обращен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1992" cy="3618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7156A15" w14:textId="77777777" w:rsidR="002C106A" w:rsidRPr="00E975A7" w:rsidRDefault="002C106A" w:rsidP="002C10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A147D5" w14:textId="77777777" w:rsidR="00DD4E01" w:rsidRPr="00E975A7" w:rsidRDefault="00DD4E01">
      <w:pPr>
        <w:spacing w:before="40" w:after="40"/>
        <w:rPr>
          <w:rFonts w:ascii="Times New Roman" w:hAnsi="Times New Roman" w:cs="Times New Roman"/>
          <w:b/>
          <w:bCs/>
          <w:color w:val="1F3A5F"/>
        </w:rPr>
      </w:pPr>
    </w:p>
    <w:p w14:paraId="58AFF7F6" w14:textId="77777777" w:rsidR="00DD4E01" w:rsidRPr="00E975A7" w:rsidRDefault="00DD4E01">
      <w:pPr>
        <w:spacing w:before="40" w:after="40"/>
        <w:rPr>
          <w:rFonts w:ascii="Times New Roman" w:hAnsi="Times New Roman" w:cs="Times New Roman"/>
          <w:b/>
          <w:bCs/>
          <w:color w:val="1F3A5F"/>
        </w:rPr>
      </w:pPr>
    </w:p>
    <w:p w14:paraId="18DD8CF0" w14:textId="6E2394BE" w:rsidR="002C106A" w:rsidRPr="00E975A7" w:rsidRDefault="002C106A" w:rsidP="002C106A">
      <w:pPr>
        <w:spacing w:before="60" w:after="80"/>
        <w:jc w:val="center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B0C6AD6" wp14:editId="628D9F42">
            <wp:extent cx="4984115" cy="2400300"/>
            <wp:effectExtent l="0" t="0" r="6985" b="0"/>
            <wp:docPr id="11" name="dyn.png" descr="Динамика: II и III кварталы" title="Динамика: II и III кварта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229" cy="240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E4132" w14:textId="77777777" w:rsidR="008E0038" w:rsidRPr="00E975A7" w:rsidRDefault="008E0038" w:rsidP="002C106A">
      <w:pPr>
        <w:spacing w:before="60" w:after="80"/>
        <w:jc w:val="center"/>
        <w:rPr>
          <w:rFonts w:ascii="Times New Roman" w:hAnsi="Times New Roman" w:cs="Times New Roman"/>
        </w:rPr>
      </w:pPr>
    </w:p>
    <w:p w14:paraId="79052452" w14:textId="648C6095" w:rsidR="002F4636" w:rsidRPr="00E975A7" w:rsidRDefault="004D5AC7">
      <w:pPr>
        <w:keepNext/>
        <w:pBdr>
          <w:left w:val="single" w:sz="36" w:space="8" w:color="E9B44C"/>
        </w:pBdr>
        <w:spacing w:before="160" w:after="80"/>
        <w:rPr>
          <w:rFonts w:ascii="Times New Roman" w:eastAsia="Times New Roman" w:hAnsi="Times New Roman" w:cs="Times New Roman"/>
          <w:b/>
          <w:bCs/>
          <w:i/>
          <w:iCs/>
          <w:color w:val="1F3864"/>
        </w:rPr>
      </w:pPr>
      <w:r w:rsidRPr="00E975A7">
        <w:rPr>
          <w:rFonts w:ascii="Times New Roman" w:hAnsi="Times New Roman" w:cs="Times New Roman"/>
          <w:b/>
          <w:bCs/>
          <w:i/>
          <w:iCs/>
          <w:color w:val="1F3A5F"/>
        </w:rPr>
        <w:t xml:space="preserve">Вопросы, отражённые в обращениях </w:t>
      </w:r>
    </w:p>
    <w:p w14:paraId="0815E1EA" w14:textId="1098F63A" w:rsidR="002C106A" w:rsidRPr="00E975A7" w:rsidRDefault="002C106A" w:rsidP="002C106A">
      <w:pPr>
        <w:spacing w:after="110" w:line="265" w:lineRule="auto"/>
        <w:jc w:val="both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</w:rPr>
        <w:t>В Банк поступали обращения по различным темам; краткие комментарии к их содержанию приведены ниже.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303"/>
        <w:gridCol w:w="200"/>
        <w:gridCol w:w="700"/>
        <w:gridCol w:w="4303"/>
      </w:tblGrid>
      <w:tr w:rsidR="002F4636" w:rsidRPr="00E975A7" w14:paraId="42A7A9DA" w14:textId="77777777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60" w:type="dxa"/>
              <w:bottom w:w="60" w:type="dxa"/>
              <w:right w:w="0" w:type="dxa"/>
            </w:tcMar>
            <w:vAlign w:val="center"/>
          </w:tcPr>
          <w:p w14:paraId="554F493C" w14:textId="37DD289E" w:rsidR="002F4636" w:rsidRPr="00E975A7" w:rsidRDefault="00281B50">
            <w:pPr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A6C03D9" wp14:editId="5CDC7C7D">
                  <wp:extent cx="342900" cy="342900"/>
                  <wp:effectExtent l="0" t="0" r="0" b="0"/>
                  <wp:docPr id="10" name="i_note.png" descr="icon" title="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 w14:paraId="6366B90A" w14:textId="77777777" w:rsidR="00281B50" w:rsidRPr="00E975A7" w:rsidRDefault="00281B50" w:rsidP="00281B50">
            <w:pPr>
              <w:spacing w:after="20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Кассовые операции — 1</w:t>
            </w:r>
          </w:p>
          <w:p w14:paraId="2DE10B55" w14:textId="23D0EC9D" w:rsidR="002F4636" w:rsidRPr="00E975A7" w:rsidRDefault="006C04B0" w:rsidP="003A5456">
            <w:pPr>
              <w:jc w:val="both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color w:val="333F50"/>
              </w:rPr>
              <w:t>Клиент интересовался порядком обмена банкнот со штампами, выразив обеспокоенность по поводу их действительности.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7C8D2D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60" w:type="dxa"/>
              <w:bottom w:w="60" w:type="dxa"/>
              <w:right w:w="0" w:type="dxa"/>
            </w:tcMar>
            <w:vAlign w:val="center"/>
          </w:tcPr>
          <w:p w14:paraId="1E40D443" w14:textId="77777777" w:rsidR="002F4636" w:rsidRPr="00E975A7" w:rsidRDefault="0096430D">
            <w:pPr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86B9F3F" wp14:editId="13C90EA1">
                  <wp:extent cx="342900" cy="342900"/>
                  <wp:effectExtent l="0" t="0" r="0" b="0"/>
                  <wp:docPr id="6" name="i_card.png" descr="icon" title="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 w14:paraId="381BCACF" w14:textId="0BF5B314" w:rsidR="002F4636" w:rsidRPr="00E975A7" w:rsidRDefault="002C106A">
            <w:pPr>
              <w:spacing w:after="20"/>
              <w:rPr>
                <w:rFonts w:ascii="Times New Roman" w:hAnsi="Times New Roman" w:cs="Times New Roman"/>
                <w:b/>
                <w:bCs/>
                <w:color w:val="1F3A5F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Банковские карты и услуги POS-терминалов — 8</w:t>
            </w:r>
          </w:p>
          <w:p w14:paraId="1D403115" w14:textId="7B863393" w:rsidR="002F4636" w:rsidRPr="00E975A7" w:rsidRDefault="00281B50" w:rsidP="002C106A">
            <w:pPr>
              <w:spacing w:after="70" w:line="265" w:lineRule="auto"/>
              <w:jc w:val="both"/>
              <w:rPr>
                <w:rFonts w:ascii="Times New Roman" w:hAnsi="Times New Roman" w:cs="Times New Roman"/>
                <w:color w:val="333F50"/>
              </w:rPr>
            </w:pPr>
            <w:r w:rsidRPr="00E975A7">
              <w:rPr>
                <w:rFonts w:ascii="Times New Roman" w:hAnsi="Times New Roman" w:cs="Times New Roman"/>
                <w:color w:val="333F50"/>
              </w:rPr>
              <w:t>Данные обращения в основном касались возражений, связанных с платёжными операциями и услугами по картам, включая ошибочные переводы и возврат средств, невыдачу наличных банкоматом, разблокировку и перевыпуск карт, применение комиссий за обслуживание, а также запрос адвоката относительно операций по карте клиента.</w:t>
            </w:r>
          </w:p>
        </w:tc>
      </w:tr>
      <w:tr w:rsidR="002F4636" w:rsidRPr="00E975A7" w14:paraId="1BCC6C42" w14:textId="77777777">
        <w:trPr>
          <w:trHeight w:hRule="exact" w:val="100"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2BE504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FFD959B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E613C43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51D858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E56124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</w:tr>
      <w:tr w:rsidR="002F4636" w:rsidRPr="00E975A7" w14:paraId="180E5F79" w14:textId="77777777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60" w:type="dxa"/>
              <w:bottom w:w="60" w:type="dxa"/>
              <w:right w:w="0" w:type="dxa"/>
            </w:tcMar>
            <w:vAlign w:val="center"/>
          </w:tcPr>
          <w:p w14:paraId="0C61F313" w14:textId="77777777" w:rsidR="002F4636" w:rsidRPr="00E975A7" w:rsidRDefault="0096430D">
            <w:pPr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342E8B1" wp14:editId="58E59C9A">
                  <wp:extent cx="342900" cy="342900"/>
                  <wp:effectExtent l="0" t="0" r="0" b="0"/>
                  <wp:docPr id="7" name="i_coin.png" descr="icon" title="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 w14:paraId="24B6E43D" w14:textId="6290FECE" w:rsidR="002F4636" w:rsidRPr="00E975A7" w:rsidRDefault="002C106A">
            <w:pPr>
              <w:spacing w:after="20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Кредитные операции — 4</w:t>
            </w:r>
          </w:p>
          <w:p w14:paraId="4ADD77FD" w14:textId="77777777" w:rsidR="00281B50" w:rsidRPr="00E975A7" w:rsidRDefault="00281B50" w:rsidP="00281B50">
            <w:pPr>
              <w:spacing w:after="70" w:line="265" w:lineRule="auto"/>
              <w:jc w:val="both"/>
              <w:rPr>
                <w:rFonts w:ascii="Times New Roman" w:hAnsi="Times New Roman" w:cs="Times New Roman"/>
                <w:color w:val="333F50"/>
              </w:rPr>
            </w:pPr>
            <w:r w:rsidRPr="00E975A7">
              <w:rPr>
                <w:rFonts w:ascii="Times New Roman" w:hAnsi="Times New Roman" w:cs="Times New Roman"/>
                <w:color w:val="333F50"/>
              </w:rPr>
              <w:t>Обращения данной категории касались просьб об увеличении кредитного лимита и предоставлении финансирования для пополнения оборотных средств (включая повторные обращения одного юридического лица), а также запросов о разъяснении условий микрозаймов.</w:t>
            </w:r>
          </w:p>
          <w:p w14:paraId="175EC4D1" w14:textId="75CCBF8D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9B1326F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60" w:type="dxa"/>
              <w:bottom w:w="60" w:type="dxa"/>
              <w:right w:w="0" w:type="dxa"/>
            </w:tcMar>
            <w:vAlign w:val="center"/>
          </w:tcPr>
          <w:p w14:paraId="0DE8A21F" w14:textId="77777777" w:rsidR="002F4636" w:rsidRPr="00E975A7" w:rsidRDefault="0096430D">
            <w:pPr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B592AA" wp14:editId="7FC871F9">
                  <wp:extent cx="342900" cy="342900"/>
                  <wp:effectExtent l="0" t="0" r="0" b="0"/>
                  <wp:docPr id="8" name="i_dollar.png" descr="icon" title="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 w14:paraId="30A031EA" w14:textId="663783F1" w:rsidR="002F4636" w:rsidRPr="00E975A7" w:rsidRDefault="002C106A">
            <w:pPr>
              <w:spacing w:after="20"/>
              <w:rPr>
                <w:rFonts w:ascii="Times New Roman" w:hAnsi="Times New Roman" w:cs="Times New Roman"/>
                <w:b/>
                <w:bCs/>
                <w:color w:val="1F3A5F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Валютное регулирование и контроль — 3</w:t>
            </w:r>
          </w:p>
          <w:p w14:paraId="0CA7AFC2" w14:textId="66759559" w:rsidR="002F4636" w:rsidRPr="00E975A7" w:rsidRDefault="002C106A" w:rsidP="003A5456">
            <w:pPr>
              <w:spacing w:after="20"/>
              <w:jc w:val="both"/>
              <w:rPr>
                <w:rFonts w:ascii="Times New Roman" w:hAnsi="Times New Roman" w:cs="Times New Roman"/>
                <w:color w:val="333F50"/>
              </w:rPr>
            </w:pPr>
            <w:r w:rsidRPr="00E975A7">
              <w:rPr>
                <w:rFonts w:ascii="Times New Roman" w:hAnsi="Times New Roman" w:cs="Times New Roman"/>
                <w:color w:val="333F50"/>
              </w:rPr>
              <w:t>Обращения касались вопросов внешнеэкономической деятельности, включая отказ в проведении валютных платежей по внешнеторговым контрактам, списание обязательств по внешнеторговым контрактам и снятие их с валютного контроля в системе «E-contract».</w:t>
            </w:r>
          </w:p>
        </w:tc>
      </w:tr>
      <w:tr w:rsidR="002F4636" w:rsidRPr="00E975A7" w14:paraId="1697AF68" w14:textId="77777777">
        <w:trPr>
          <w:trHeight w:hRule="exact" w:val="100"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A716F0F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CBE84F0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FEDA01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2FE4B14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931BA1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</w:tr>
      <w:tr w:rsidR="002F4636" w:rsidRPr="00E975A7" w14:paraId="7F465AF0" w14:textId="77777777">
        <w:trPr>
          <w:cantSplit/>
        </w:trPr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60" w:type="dxa"/>
              <w:bottom w:w="60" w:type="dxa"/>
              <w:right w:w="0" w:type="dxa"/>
            </w:tcMar>
            <w:vAlign w:val="center"/>
          </w:tcPr>
          <w:p w14:paraId="5430D9EF" w14:textId="77777777" w:rsidR="002F4636" w:rsidRPr="00E975A7" w:rsidRDefault="0096430D">
            <w:pPr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7C96527" wp14:editId="143A6136">
                  <wp:extent cx="342900" cy="342900"/>
                  <wp:effectExtent l="0" t="0" r="0" b="0"/>
                  <wp:docPr id="9" name="i_phone.png" descr="icon" title="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 w14:paraId="712585A8" w14:textId="1B5EDF7A" w:rsidR="002F4636" w:rsidRPr="00E975A7" w:rsidRDefault="002C106A">
            <w:pPr>
              <w:spacing w:after="20"/>
              <w:rPr>
                <w:rFonts w:ascii="Times New Roman" w:hAnsi="Times New Roman" w:cs="Times New Roman"/>
                <w:b/>
                <w:bCs/>
                <w:color w:val="1F3A5F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Банковские информационные технологии и связь — 2</w:t>
            </w:r>
          </w:p>
          <w:p w14:paraId="799EFDC3" w14:textId="77777777" w:rsidR="002C106A" w:rsidRPr="00E975A7" w:rsidRDefault="002C106A" w:rsidP="002C106A">
            <w:pPr>
              <w:spacing w:after="70" w:line="265" w:lineRule="auto"/>
              <w:jc w:val="both"/>
              <w:rPr>
                <w:rFonts w:ascii="Times New Roman" w:hAnsi="Times New Roman" w:cs="Times New Roman"/>
                <w:color w:val="333F50"/>
              </w:rPr>
            </w:pPr>
            <w:r w:rsidRPr="00E975A7">
              <w:rPr>
                <w:rFonts w:ascii="Times New Roman" w:hAnsi="Times New Roman" w:cs="Times New Roman"/>
                <w:color w:val="333F50"/>
              </w:rPr>
              <w:t>В обращениях были высказаны опасения относительно времени активной сессии в интернет-банкинге и ограничений безопасности, применяемых в мобильном приложении.</w:t>
            </w:r>
          </w:p>
          <w:p w14:paraId="47856415" w14:textId="3CDC0CFB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5D62C0" w14:textId="77777777" w:rsidR="002F4636" w:rsidRPr="00E975A7" w:rsidRDefault="002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60" w:type="dxa"/>
              <w:bottom w:w="60" w:type="dxa"/>
              <w:right w:w="0" w:type="dxa"/>
            </w:tcMar>
            <w:vAlign w:val="center"/>
          </w:tcPr>
          <w:p w14:paraId="10A259E3" w14:textId="782275F0" w:rsidR="002F4636" w:rsidRPr="00E975A7" w:rsidRDefault="00281B50">
            <w:pPr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138114" wp14:editId="504BD713">
                  <wp:extent cx="342900" cy="342900"/>
                  <wp:effectExtent l="0" t="0" r="0" b="0"/>
                  <wp:docPr id="5" name="i_doc.png" descr="icon" title="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AFD"/>
            <w:tcMar>
              <w:top w:w="60" w:type="dxa"/>
              <w:left w:w="80" w:type="dxa"/>
              <w:bottom w:w="60" w:type="dxa"/>
              <w:right w:w="100" w:type="dxa"/>
            </w:tcMar>
            <w:vAlign w:val="center"/>
          </w:tcPr>
          <w:p w14:paraId="2BC0C4C7" w14:textId="5B86176D" w:rsidR="00281B50" w:rsidRPr="00E975A7" w:rsidRDefault="002C106A" w:rsidP="00281B50">
            <w:pPr>
              <w:spacing w:after="20"/>
              <w:rPr>
                <w:rFonts w:ascii="Times New Roman" w:hAnsi="Times New Roman" w:cs="Times New Roman"/>
                <w:b/>
                <w:bCs/>
                <w:color w:val="1F3A5F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Прочие вопросы — 28</w:t>
            </w:r>
          </w:p>
          <w:p w14:paraId="3CED864F" w14:textId="0CA25AD1" w:rsidR="00206CD2" w:rsidRPr="00E975A7" w:rsidRDefault="002C106A" w:rsidP="002C106A">
            <w:pPr>
              <w:spacing w:after="70" w:line="265" w:lineRule="auto"/>
              <w:jc w:val="both"/>
              <w:rPr>
                <w:rFonts w:ascii="Times New Roman" w:hAnsi="Times New Roman" w:cs="Times New Roman"/>
                <w:color w:val="333F50"/>
              </w:rPr>
            </w:pPr>
            <w:r w:rsidRPr="00E975A7">
              <w:rPr>
                <w:rFonts w:ascii="Times New Roman" w:hAnsi="Times New Roman" w:cs="Times New Roman"/>
                <w:color w:val="333F50"/>
              </w:rPr>
              <w:t>Обращения в основном содержали запросы о наличии у лица банковских счетов, вкладов, платёжных карт и кредитов, включая вопросы, связанные с наследованием; запросы правоохранительных органов и связанные с ними вопросы банковской тайны; разъяснения по мобильным услугам и требованиям по предотвращению мошенничества; общее предложение для банковского сектора, а также иные вопросы общего характера.</w:t>
            </w:r>
          </w:p>
        </w:tc>
      </w:tr>
    </w:tbl>
    <w:p w14:paraId="45A2CEA0" w14:textId="6D4DE7B5" w:rsidR="002F4636" w:rsidRPr="00E975A7" w:rsidRDefault="0096430D">
      <w:pPr>
        <w:keepNext/>
        <w:pBdr>
          <w:left w:val="single" w:sz="36" w:space="8" w:color="E9B44C"/>
        </w:pBdr>
        <w:spacing w:before="160" w:after="80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  <w:b/>
          <w:bCs/>
          <w:i/>
          <w:iCs/>
          <w:color w:val="1F3A5F"/>
        </w:rPr>
        <w:t>Соответствие услуг потребностям потребителей и справедливое отношение</w:t>
      </w:r>
    </w:p>
    <w:tbl>
      <w:tblPr>
        <w:tblW w:w="8506" w:type="dxa"/>
        <w:tblInd w:w="1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700"/>
        <w:gridCol w:w="3406"/>
        <w:gridCol w:w="1700"/>
      </w:tblGrid>
      <w:tr w:rsidR="00E8580F" w:rsidRPr="0098110E" w14:paraId="4DE27504" w14:textId="77777777" w:rsidTr="00206CD2">
        <w:tc>
          <w:tcPr>
            <w:tcW w:w="1700" w:type="dxa"/>
            <w:tcBorders>
              <w:top w:val="single" w:sz="18" w:space="0" w:color="2A9D8F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AF1F8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1DD9A4F" w14:textId="17BB4914" w:rsidR="00E8580F" w:rsidRPr="00E975A7" w:rsidRDefault="00E8580F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46</w:t>
            </w:r>
          </w:p>
          <w:p w14:paraId="7D75756E" w14:textId="2E713F83" w:rsidR="00E8580F" w:rsidRPr="00E975A7" w:rsidRDefault="00E8580F" w:rsidP="00E8580F">
            <w:pPr>
              <w:spacing w:after="20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5B6B7F"/>
              </w:rPr>
              <w:t>Всего обращений</w:t>
            </w:r>
          </w:p>
        </w:tc>
        <w:tc>
          <w:tcPr>
            <w:tcW w:w="1700" w:type="dxa"/>
            <w:tcBorders>
              <w:top w:val="single" w:sz="18" w:space="0" w:color="E9B44C"/>
              <w:left w:val="single" w:sz="12" w:space="0" w:color="FFFFFF"/>
              <w:bottom w:val="none" w:sz="0" w:space="0" w:color="FFFFFF"/>
              <w:right w:val="single" w:sz="12" w:space="0" w:color="FFFFFF"/>
            </w:tcBorders>
            <w:shd w:val="clear" w:color="auto" w:fill="EAF1F8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BE9E3B" w14:textId="77777777" w:rsidR="00E8580F" w:rsidRPr="00E975A7" w:rsidRDefault="00E8580F">
            <w:pPr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1F3A5F"/>
              </w:rPr>
              <w:t>7</w:t>
            </w:r>
          </w:p>
          <w:p w14:paraId="51C9133A" w14:textId="20DAF025" w:rsidR="00E8580F" w:rsidRPr="00E975A7" w:rsidRDefault="00E8580F" w:rsidP="00E8580F">
            <w:pPr>
              <w:spacing w:after="20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  <w:b/>
                <w:bCs/>
                <w:color w:val="5B6B7F"/>
              </w:rPr>
              <w:t>Дубликаты (15%)</w:t>
            </w:r>
          </w:p>
        </w:tc>
        <w:tc>
          <w:tcPr>
            <w:tcW w:w="34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</w:tcPr>
          <w:p w14:paraId="29F37116" w14:textId="784BFA00" w:rsidR="00E8580F" w:rsidRPr="00E975A7" w:rsidRDefault="00E85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B462ABC" w14:textId="77777777" w:rsidR="00E8580F" w:rsidRPr="00E975A7" w:rsidRDefault="00E8580F">
            <w:pPr>
              <w:rPr>
                <w:rFonts w:ascii="Times New Roman" w:hAnsi="Times New Roman" w:cs="Times New Roman"/>
              </w:rPr>
            </w:pPr>
          </w:p>
        </w:tc>
      </w:tr>
    </w:tbl>
    <w:p w14:paraId="46F7EC39" w14:textId="77777777" w:rsidR="00206CD2" w:rsidRPr="00E975A7" w:rsidRDefault="00206CD2">
      <w:pPr>
        <w:spacing w:before="60" w:line="270" w:lineRule="auto"/>
        <w:jc w:val="both"/>
        <w:rPr>
          <w:rFonts w:ascii="Times New Roman" w:hAnsi="Times New Roman" w:cs="Times New Roman"/>
        </w:rPr>
      </w:pPr>
    </w:p>
    <w:p w14:paraId="3E6AC484" w14:textId="4941D03A" w:rsidR="004638A4" w:rsidRDefault="005D4AED">
      <w:pPr>
        <w:spacing w:before="60" w:line="270" w:lineRule="auto"/>
        <w:jc w:val="both"/>
        <w:rPr>
          <w:rFonts w:ascii="Times New Roman" w:hAnsi="Times New Roman" w:cs="Times New Roman"/>
        </w:rPr>
      </w:pPr>
      <w:r w:rsidRPr="00E975A7">
        <w:rPr>
          <w:rFonts w:ascii="Times New Roman" w:hAnsi="Times New Roman" w:cs="Times New Roman"/>
        </w:rPr>
        <w:t>Из 46 обращений 39 (85%) рассмотрены в установленном порядке, оставшиеся 7 (15%) определены как дубликаты обращений</w:t>
      </w:r>
      <w:r w:rsidR="004638A4" w:rsidRPr="003A5456">
        <w:rPr>
          <w:rFonts w:ascii="Times New Roman" w:hAnsi="Times New Roman" w:cs="Times New Roman"/>
        </w:rPr>
        <w:t>.</w:t>
      </w:r>
    </w:p>
    <w:p w14:paraId="5EBB7B2F" w14:textId="59719F87" w:rsidR="004638A4" w:rsidRDefault="004638A4">
      <w:pPr>
        <w:spacing w:before="60" w:line="270" w:lineRule="auto"/>
        <w:jc w:val="both"/>
        <w:rPr>
          <w:rFonts w:ascii="Times New Roman" w:hAnsi="Times New Roman" w:cs="Times New Roman"/>
        </w:rPr>
      </w:pPr>
    </w:p>
    <w:p w14:paraId="7701D5A2" w14:textId="77777777" w:rsidR="004638A4" w:rsidRPr="00E975A7" w:rsidRDefault="004638A4">
      <w:pPr>
        <w:spacing w:before="60" w:line="270" w:lineRule="auto"/>
        <w:jc w:val="both"/>
        <w:rPr>
          <w:rFonts w:ascii="Times New Roman" w:hAnsi="Times New Roman" w:cs="Times New Roman"/>
        </w:rPr>
      </w:pPr>
    </w:p>
    <w:p w14:paraId="2887684A" w14:textId="77777777" w:rsidR="00206CD2" w:rsidRPr="00E975A7" w:rsidRDefault="00206CD2">
      <w:pPr>
        <w:spacing w:before="60" w:line="270" w:lineRule="auto"/>
        <w:jc w:val="both"/>
        <w:rPr>
          <w:rFonts w:ascii="Times New Roman" w:hAnsi="Times New Roman" w:cs="Times New Roman"/>
        </w:rPr>
      </w:pPr>
    </w:p>
    <w:p w14:paraId="22A37DC5" w14:textId="738ED332" w:rsidR="002C106A" w:rsidRPr="00E975A7" w:rsidRDefault="002C106A">
      <w:pPr>
        <w:keepNext/>
        <w:pBdr>
          <w:left w:val="single" w:sz="36" w:space="8" w:color="E9B44C"/>
        </w:pBdr>
        <w:spacing w:before="160" w:after="80"/>
        <w:rPr>
          <w:rFonts w:ascii="Times New Roman" w:hAnsi="Times New Roman" w:cs="Times New Roman"/>
          <w:b/>
          <w:bCs/>
          <w:i/>
          <w:iCs/>
          <w:color w:val="1F3A5F"/>
        </w:rPr>
      </w:pPr>
      <w:bookmarkStart w:id="0" w:name="_Hlk242439400"/>
      <w:r w:rsidRPr="00E975A7">
        <w:rPr>
          <w:rFonts w:ascii="Times New Roman" w:hAnsi="Times New Roman" w:cs="Times New Roman"/>
          <w:b/>
          <w:bCs/>
          <w:i/>
          <w:iCs/>
          <w:color w:val="1F3A5F"/>
        </w:rPr>
        <w:t>Рассмотрение обращений, системные недостатки и меры по их устранению</w:t>
      </w:r>
      <w:bookmarkEnd w:id="0"/>
    </w:p>
    <w:p w14:paraId="50E99E6B" w14:textId="7078E5C7" w:rsidR="003F212D" w:rsidRPr="00E975A7" w:rsidRDefault="003F212D" w:rsidP="003A5456">
      <w:pPr>
        <w:pStyle w:val="NormalWeb"/>
        <w:jc w:val="both"/>
        <w:rPr>
          <w:rFonts w:eastAsia="Arial"/>
          <w:sz w:val="20"/>
          <w:szCs w:val="20"/>
        </w:rPr>
      </w:pPr>
      <w:r w:rsidRPr="00E975A7">
        <w:rPr>
          <w:rFonts w:eastAsia="Arial"/>
          <w:sz w:val="20"/>
          <w:szCs w:val="20"/>
        </w:rPr>
        <w:t xml:space="preserve">В соответствии с требованиями </w:t>
      </w:r>
      <w:r w:rsidR="00890227">
        <w:rPr>
          <w:rFonts w:eastAsia="Arial"/>
          <w:sz w:val="20"/>
          <w:szCs w:val="20"/>
        </w:rPr>
        <w:t>национального</w:t>
      </w:r>
      <w:r w:rsidR="00890227" w:rsidRPr="00E975A7">
        <w:rPr>
          <w:rFonts w:eastAsia="Arial"/>
          <w:sz w:val="20"/>
          <w:szCs w:val="20"/>
        </w:rPr>
        <w:t xml:space="preserve"> </w:t>
      </w:r>
      <w:r w:rsidRPr="00E975A7">
        <w:rPr>
          <w:rFonts w:eastAsia="Arial"/>
          <w:sz w:val="20"/>
          <w:szCs w:val="20"/>
        </w:rPr>
        <w:t xml:space="preserve">законодательства </w:t>
      </w:r>
      <w:r w:rsidR="00890227">
        <w:rPr>
          <w:rFonts w:eastAsia="Arial"/>
          <w:sz w:val="20"/>
          <w:szCs w:val="20"/>
        </w:rPr>
        <w:t>КДБ Банк</w:t>
      </w:r>
      <w:r w:rsidRPr="00E975A7">
        <w:rPr>
          <w:rFonts w:eastAsia="Arial"/>
          <w:sz w:val="20"/>
          <w:szCs w:val="20"/>
        </w:rPr>
        <w:t xml:space="preserve"> обеспечивает соответствие своих услуг и продуктов потребностям потребителей. Банк выстраивает прозрачные и справедливые отношения с потребителями посредством предоставления цифровых публичных оферт и заключения договоров, обеспечивая соответствие всех процессов обслуживания как требованиям клиентов, так и нормативным требованиям.</w:t>
      </w:r>
    </w:p>
    <w:p w14:paraId="58C0B1E5" w14:textId="6791A740" w:rsidR="00206CD2" w:rsidRPr="00E975A7" w:rsidRDefault="003F212D" w:rsidP="003A5456">
      <w:pPr>
        <w:pStyle w:val="NormalWeb"/>
        <w:jc w:val="both"/>
        <w:rPr>
          <w:rFonts w:eastAsia="Arial"/>
          <w:sz w:val="20"/>
          <w:szCs w:val="20"/>
        </w:rPr>
      </w:pPr>
      <w:r w:rsidRPr="00E975A7">
        <w:rPr>
          <w:rFonts w:eastAsia="Arial"/>
          <w:sz w:val="20"/>
          <w:szCs w:val="20"/>
        </w:rPr>
        <w:t>В отчётный период существенных недостатков или нарушений выявлено не было. Все обращения рассмотрены в соответствии с установленными процедурами и сроками.</w:t>
      </w:r>
    </w:p>
    <w:p w14:paraId="00633498" w14:textId="7E31AF60" w:rsidR="0096430D" w:rsidRPr="00E975A7" w:rsidRDefault="0096430D" w:rsidP="003A5456">
      <w:pPr>
        <w:pStyle w:val="NormalWeb"/>
        <w:jc w:val="both"/>
        <w:rPr>
          <w:rFonts w:eastAsia="Arial"/>
          <w:b/>
          <w:bCs/>
          <w:i/>
          <w:iCs/>
          <w:color w:val="1F3A5F"/>
          <w:sz w:val="20"/>
          <w:szCs w:val="20"/>
        </w:rPr>
      </w:pPr>
      <w:r w:rsidRPr="00E975A7">
        <w:rPr>
          <w:rFonts w:eastAsia="Arial"/>
          <w:b/>
          <w:bCs/>
          <w:i/>
          <w:iCs/>
          <w:color w:val="1F3A5F"/>
          <w:sz w:val="20"/>
          <w:szCs w:val="20"/>
        </w:rPr>
        <w:t>По результатам всестороннего анализа вопросов, поднятых в обращениях, Банком реализованы следующие меры: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178"/>
        <w:gridCol w:w="2000"/>
        <w:gridCol w:w="2900"/>
      </w:tblGrid>
      <w:tr w:rsidR="002C106A" w:rsidRPr="0098110E" w14:paraId="54680581" w14:textId="77777777" w:rsidTr="00FE66CB">
        <w:trPr>
          <w:cantSplit/>
          <w:tblHeader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05BF2E" w14:textId="77777777" w:rsidR="002C106A" w:rsidRPr="00E975A7" w:rsidRDefault="002C106A" w:rsidP="00FE66CB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843362" w14:textId="77777777" w:rsidR="002C106A" w:rsidRPr="00E975A7" w:rsidRDefault="002C106A" w:rsidP="00FE66CB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eastAsia="Times New Roman" w:hAnsi="Times New Roman" w:cs="Times New Roman"/>
                <w:b/>
                <w:bCs/>
              </w:rPr>
              <w:t>Меры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B41130" w14:textId="77777777" w:rsidR="002C106A" w:rsidRPr="00E975A7" w:rsidRDefault="002C106A" w:rsidP="00FE66CB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eastAsia="Times New Roman" w:hAnsi="Times New Roman" w:cs="Times New Roman"/>
                <w:b/>
                <w:bCs/>
              </w:rPr>
              <w:t>Срок реализации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044F6E" w14:textId="5322025D" w:rsidR="002C106A" w:rsidRPr="00E975A7" w:rsidRDefault="002C106A" w:rsidP="00FE66CB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eastAsia="Times New Roman" w:hAnsi="Times New Roman" w:cs="Times New Roman"/>
                <w:b/>
                <w:bCs/>
              </w:rPr>
              <w:t>Ответственные структурные подразделения</w:t>
            </w:r>
          </w:p>
        </w:tc>
      </w:tr>
      <w:tr w:rsidR="005D4AED" w:rsidRPr="0098110E" w14:paraId="21D57582" w14:textId="77777777" w:rsidTr="00FE66CB">
        <w:trPr>
          <w:cantSplit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19DC9D" w14:textId="5FE16DC8" w:rsidR="005D4AED" w:rsidRPr="00E975A7" w:rsidRDefault="008E0038" w:rsidP="005D4AED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315065" w14:textId="48A1B5D0" w:rsidR="005D4AED" w:rsidRPr="00E975A7" w:rsidRDefault="005D4AED" w:rsidP="005D4AED">
            <w:pPr>
              <w:spacing w:line="25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975A7">
              <w:rPr>
                <w:rFonts w:ascii="Times New Roman" w:eastAsia="Calibri" w:hAnsi="Times New Roman" w:cs="Times New Roman"/>
              </w:rPr>
              <w:t>Обеспеч</w:t>
            </w:r>
            <w:r w:rsidR="00890227">
              <w:rPr>
                <w:rFonts w:ascii="Times New Roman" w:eastAsia="Calibri" w:hAnsi="Times New Roman" w:cs="Times New Roman"/>
              </w:rPr>
              <w:t>ение</w:t>
            </w:r>
            <w:r w:rsidRPr="00E975A7">
              <w:rPr>
                <w:rFonts w:ascii="Times New Roman" w:eastAsia="Calibri" w:hAnsi="Times New Roman" w:cs="Times New Roman"/>
              </w:rPr>
              <w:t xml:space="preserve"> непрерывн</w:t>
            </w:r>
            <w:r w:rsidR="00890227">
              <w:rPr>
                <w:rFonts w:ascii="Times New Roman" w:eastAsia="Calibri" w:hAnsi="Times New Roman" w:cs="Times New Roman"/>
              </w:rPr>
              <w:t>ой</w:t>
            </w:r>
            <w:r w:rsidRPr="00E975A7">
              <w:rPr>
                <w:rFonts w:ascii="Times New Roman" w:eastAsia="Calibri" w:hAnsi="Times New Roman" w:cs="Times New Roman"/>
              </w:rPr>
              <w:t xml:space="preserve"> доступност</w:t>
            </w:r>
            <w:r w:rsidR="00890227">
              <w:rPr>
                <w:rFonts w:ascii="Times New Roman" w:eastAsia="Calibri" w:hAnsi="Times New Roman" w:cs="Times New Roman"/>
              </w:rPr>
              <w:t>и</w:t>
            </w:r>
            <w:r w:rsidRPr="00E975A7">
              <w:rPr>
                <w:rFonts w:ascii="Times New Roman" w:eastAsia="Calibri" w:hAnsi="Times New Roman" w:cs="Times New Roman"/>
              </w:rPr>
              <w:t xml:space="preserve"> услуг блокировки карт в режиме 24/7 и бесперебойн</w:t>
            </w:r>
            <w:r w:rsidR="00890227">
              <w:rPr>
                <w:rFonts w:ascii="Times New Roman" w:eastAsia="Calibri" w:hAnsi="Times New Roman" w:cs="Times New Roman"/>
              </w:rPr>
              <w:t>ой</w:t>
            </w:r>
            <w:r w:rsidRPr="00E975A7">
              <w:rPr>
                <w:rFonts w:ascii="Times New Roman" w:eastAsia="Calibri" w:hAnsi="Times New Roman" w:cs="Times New Roman"/>
              </w:rPr>
              <w:t xml:space="preserve"> работ</w:t>
            </w:r>
            <w:r w:rsidR="00890227">
              <w:rPr>
                <w:rFonts w:ascii="Times New Roman" w:eastAsia="Calibri" w:hAnsi="Times New Roman" w:cs="Times New Roman"/>
              </w:rPr>
              <w:t>ы</w:t>
            </w:r>
            <w:r w:rsidRPr="00E975A7">
              <w:rPr>
                <w:rFonts w:ascii="Times New Roman" w:eastAsia="Calibri" w:hAnsi="Times New Roman" w:cs="Times New Roman"/>
              </w:rPr>
              <w:t xml:space="preserve"> антифрод-систем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E618F8" w14:textId="1465699D" w:rsidR="005D4AED" w:rsidRPr="00E975A7" w:rsidRDefault="005D4AED" w:rsidP="005D4AED">
            <w:pPr>
              <w:spacing w:line="25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E975A7">
              <w:rPr>
                <w:rFonts w:ascii="Times New Roman" w:hAnsi="Times New Roman" w:cs="Times New Roman"/>
              </w:rPr>
              <w:t>На постоянной основе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1E3258" w14:textId="780E47F9" w:rsidR="005D4AED" w:rsidRPr="00E975A7" w:rsidRDefault="00890227" w:rsidP="005D4AED">
            <w:pPr>
              <w:spacing w:after="255" w:line="254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Управление по работе с</w:t>
            </w:r>
            <w:r w:rsidRPr="00E975A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D4AED" w:rsidRPr="00E975A7">
              <w:rPr>
                <w:rFonts w:ascii="Times New Roman" w:hAnsi="Times New Roman" w:cs="Times New Roman"/>
                <w:color w:val="000000" w:themeColor="text1"/>
              </w:rPr>
              <w:t>банковски</w:t>
            </w:r>
            <w:r>
              <w:rPr>
                <w:rFonts w:ascii="Times New Roman" w:hAnsi="Times New Roman" w:cs="Times New Roman"/>
                <w:color w:val="000000" w:themeColor="text1"/>
              </w:rPr>
              <w:t>ми</w:t>
            </w:r>
            <w:r w:rsidR="005D4AED" w:rsidRPr="00E975A7">
              <w:rPr>
                <w:rFonts w:ascii="Times New Roman" w:hAnsi="Times New Roman" w:cs="Times New Roman"/>
                <w:color w:val="000000" w:themeColor="text1"/>
              </w:rPr>
              <w:t xml:space="preserve"> карт</w:t>
            </w:r>
            <w:r>
              <w:rPr>
                <w:rFonts w:ascii="Times New Roman" w:hAnsi="Times New Roman" w:cs="Times New Roman"/>
                <w:color w:val="000000" w:themeColor="text1"/>
              </w:rPr>
              <w:t>ами</w:t>
            </w:r>
            <w:r w:rsidR="005D4AED" w:rsidRPr="00E975A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6CAECD22" w14:textId="56EC1ECE" w:rsidR="008E0038" w:rsidRPr="00E975A7" w:rsidRDefault="00E6769D" w:rsidP="005D4AED">
            <w:pPr>
              <w:spacing w:after="255" w:line="254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E6769D">
              <w:rPr>
                <w:rFonts w:ascii="Times New Roman" w:hAnsi="Times New Roman" w:cs="Times New Roman"/>
                <w:color w:val="000000" w:themeColor="text1"/>
              </w:rPr>
              <w:t>Управление по принятию мер против фрод-операций</w:t>
            </w:r>
            <w:r w:rsidRPr="00E6769D" w:rsidDel="0089022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0038" w:rsidRPr="00E975A7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06AB7CBF" w14:textId="723C3F08" w:rsidR="005D4AED" w:rsidRPr="00E975A7" w:rsidRDefault="00890227" w:rsidP="005D4AED">
            <w:pPr>
              <w:spacing w:after="255" w:line="254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Управление</w:t>
            </w:r>
            <w:r w:rsidR="005D4AED" w:rsidRPr="00E975A7">
              <w:rPr>
                <w:rFonts w:ascii="Times New Roman" w:eastAsia="Times New Roman" w:hAnsi="Times New Roman" w:cs="Times New Roman"/>
              </w:rPr>
              <w:t xml:space="preserve"> </w:t>
            </w:r>
            <w:r w:rsidR="00E6769D">
              <w:rPr>
                <w:rFonts w:ascii="Times New Roman" w:eastAsia="Times New Roman" w:hAnsi="Times New Roman" w:cs="Times New Roman"/>
              </w:rPr>
              <w:t xml:space="preserve">по </w:t>
            </w:r>
            <w:r w:rsidR="005D4AED" w:rsidRPr="00E975A7">
              <w:rPr>
                <w:rFonts w:ascii="Times New Roman" w:eastAsia="Times New Roman" w:hAnsi="Times New Roman" w:cs="Times New Roman"/>
              </w:rPr>
              <w:t>обслуживани</w:t>
            </w:r>
            <w:r w:rsidR="00E6769D">
              <w:rPr>
                <w:rFonts w:ascii="Times New Roman" w:eastAsia="Times New Roman" w:hAnsi="Times New Roman" w:cs="Times New Roman"/>
              </w:rPr>
              <w:t>ю</w:t>
            </w:r>
            <w:r w:rsidR="005D4AED" w:rsidRPr="00E975A7">
              <w:rPr>
                <w:rFonts w:ascii="Times New Roman" w:eastAsia="Times New Roman" w:hAnsi="Times New Roman" w:cs="Times New Roman"/>
              </w:rPr>
              <w:t xml:space="preserve"> клиентов-2 (</w:t>
            </w:r>
            <w:r w:rsidR="00E2121B" w:rsidRPr="00E2121B">
              <w:rPr>
                <w:rFonts w:ascii="Times New Roman" w:eastAsia="Times New Roman" w:hAnsi="Times New Roman" w:cs="Times New Roman"/>
              </w:rPr>
              <w:t>Подразделение по поддержке онлайн</w:t>
            </w:r>
            <w:r w:rsidR="00E2121B" w:rsidRPr="003A545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включительно</w:t>
            </w:r>
            <w:r w:rsidR="005D4AED" w:rsidRPr="00E975A7">
              <w:rPr>
                <w:rFonts w:ascii="Times New Roman" w:eastAsia="Times New Roman" w:hAnsi="Times New Roman" w:cs="Times New Roman"/>
              </w:rPr>
              <w:t>);</w:t>
            </w:r>
          </w:p>
          <w:p w14:paraId="7758B99B" w14:textId="358DF983" w:rsidR="005D4AED" w:rsidRPr="00E975A7" w:rsidRDefault="005D4AED" w:rsidP="008E0038">
            <w:pPr>
              <w:spacing w:after="255" w:line="254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975A7">
              <w:rPr>
                <w:rFonts w:ascii="Times New Roman" w:hAnsi="Times New Roman" w:cs="Times New Roman"/>
                <w:color w:val="000000" w:themeColor="text1"/>
              </w:rPr>
              <w:t>Филиал Ойбек.</w:t>
            </w:r>
          </w:p>
        </w:tc>
      </w:tr>
      <w:tr w:rsidR="00F43118" w:rsidRPr="0098110E" w14:paraId="0B31E36B" w14:textId="77777777" w:rsidTr="00F43118">
        <w:trPr>
          <w:cantSplit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2AA1D5" w14:textId="77777777" w:rsidR="00F43118" w:rsidRPr="00E975A7" w:rsidRDefault="00F43118" w:rsidP="00F43118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E975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8F5686" w14:textId="140CAB09" w:rsidR="00F43118" w:rsidRPr="00E975A7" w:rsidRDefault="00F43118" w:rsidP="00F43118">
            <w:pPr>
              <w:spacing w:line="25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5A7">
              <w:rPr>
                <w:rFonts w:ascii="Times New Roman" w:eastAsia="Calibri" w:hAnsi="Times New Roman" w:cs="Times New Roman"/>
              </w:rPr>
              <w:t>Пересмотр Временн</w:t>
            </w:r>
            <w:r w:rsidR="00890227">
              <w:rPr>
                <w:rFonts w:ascii="Times New Roman" w:eastAsia="Calibri" w:hAnsi="Times New Roman" w:cs="Times New Roman"/>
              </w:rPr>
              <w:t>ого</w:t>
            </w:r>
            <w:r w:rsidRPr="00E975A7">
              <w:rPr>
                <w:rFonts w:ascii="Times New Roman" w:eastAsia="Calibri" w:hAnsi="Times New Roman" w:cs="Times New Roman"/>
              </w:rPr>
              <w:t xml:space="preserve"> поряд</w:t>
            </w:r>
            <w:r w:rsidR="00890227">
              <w:rPr>
                <w:rFonts w:ascii="Times New Roman" w:eastAsia="Calibri" w:hAnsi="Times New Roman" w:cs="Times New Roman"/>
              </w:rPr>
              <w:t>ка</w:t>
            </w:r>
            <w:r w:rsidRPr="00E975A7">
              <w:rPr>
                <w:rFonts w:ascii="Times New Roman" w:eastAsia="Calibri" w:hAnsi="Times New Roman" w:cs="Times New Roman"/>
              </w:rPr>
              <w:t xml:space="preserve"> обслуживания внешнеторговых контрактов в соответствии с действующими нормативными требованиями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F72CF9" w14:textId="193AE2D4" w:rsidR="00F43118" w:rsidRPr="00E975A7" w:rsidRDefault="004D5AC7" w:rsidP="00F43118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98110E">
              <w:rPr>
                <w:rFonts w:ascii="Times New Roman" w:hAnsi="Times New Roman" w:cs="Times New Roman"/>
              </w:rPr>
              <w:t>Временный порядок обслуживания внешнеторговых контрактов пересмотрен 08.07.2026 г.</w:t>
            </w:r>
          </w:p>
        </w:tc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A62DA5" w14:textId="31D594B7" w:rsidR="00F43118" w:rsidRPr="00E975A7" w:rsidRDefault="00890227" w:rsidP="003A5456">
            <w:pPr>
              <w:spacing w:after="255" w:line="254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Управление</w:t>
            </w:r>
            <w:r w:rsidRPr="00E975A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43118" w:rsidRPr="00E975A7">
              <w:rPr>
                <w:rFonts w:ascii="Times New Roman" w:hAnsi="Times New Roman" w:cs="Times New Roman"/>
                <w:color w:val="000000" w:themeColor="text1"/>
              </w:rPr>
              <w:t>валютного контроля</w:t>
            </w:r>
          </w:p>
        </w:tc>
      </w:tr>
    </w:tbl>
    <w:p w14:paraId="1946B38C" w14:textId="77777777" w:rsidR="00FC75DE" w:rsidRPr="00E975A7" w:rsidRDefault="00FC75DE">
      <w:pPr>
        <w:rPr>
          <w:rFonts w:ascii="Times New Roman" w:hAnsi="Times New Roman" w:cs="Times New Roman"/>
        </w:rPr>
      </w:pPr>
    </w:p>
    <w:sectPr w:rsidR="00FC75DE" w:rsidRPr="00E975A7">
      <w:footerReference w:type="default" r:id="rId18"/>
      <w:pgSz w:w="11906" w:h="16838"/>
      <w:pgMar w:top="450" w:right="850" w:bottom="600" w:left="850" w:header="708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5ADBA" w14:textId="77777777" w:rsidR="004635C4" w:rsidRDefault="004635C4">
      <w:r>
        <w:separator/>
      </w:r>
    </w:p>
  </w:endnote>
  <w:endnote w:type="continuationSeparator" w:id="0">
    <w:p w14:paraId="1B8E4C2E" w14:textId="77777777" w:rsidR="004635C4" w:rsidRDefault="0046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36066" w14:textId="77777777" w:rsidR="002F4636" w:rsidRDefault="0096430D">
    <w:pPr>
      <w:jc w:val="center"/>
    </w:pPr>
    <w:r>
      <w:rPr>
        <w:color w:val="5B6B7F"/>
        <w:sz w:val="16"/>
        <w:szCs w:val="16"/>
      </w:rPr>
      <w:fldChar w:fldCharType="begin"/>
    </w:r>
    <w:r>
      <w:rPr>
        <w:color w:val="5B6B7F"/>
        <w:sz w:val="16"/>
        <w:szCs w:val="16"/>
      </w:rPr>
      <w:instrText>PAGE</w:instrText>
    </w:r>
    <w:r>
      <w:rPr>
        <w:color w:val="5B6B7F"/>
        <w:sz w:val="16"/>
        <w:szCs w:val="16"/>
      </w:rPr>
      <w:fldChar w:fldCharType="separate"/>
    </w:r>
    <w:r w:rsidR="00DD4E01">
      <w:rPr>
        <w:noProof/>
        <w:color w:val="5B6B7F"/>
        <w:sz w:val="16"/>
        <w:szCs w:val="16"/>
      </w:rPr>
      <w:t>1</w:t>
    </w:r>
    <w:r>
      <w:rPr>
        <w:color w:val="5B6B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04BEB" w14:textId="77777777" w:rsidR="004635C4" w:rsidRDefault="004635C4">
      <w:r>
        <w:separator/>
      </w:r>
    </w:p>
  </w:footnote>
  <w:footnote w:type="continuationSeparator" w:id="0">
    <w:p w14:paraId="348853BC" w14:textId="77777777" w:rsidR="004635C4" w:rsidRDefault="00463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6DD4"/>
    <w:multiLevelType w:val="hybridMultilevel"/>
    <w:tmpl w:val="78A48AB6"/>
    <w:lvl w:ilvl="0" w:tplc="F2DCA0AE">
      <w:start w:val="1"/>
      <w:numFmt w:val="bullet"/>
      <w:lvlText w:val="●"/>
      <w:lvlJc w:val="left"/>
      <w:pPr>
        <w:ind w:left="720" w:hanging="360"/>
      </w:pPr>
    </w:lvl>
    <w:lvl w:ilvl="1" w:tplc="A1582F38">
      <w:start w:val="1"/>
      <w:numFmt w:val="bullet"/>
      <w:lvlText w:val="○"/>
      <w:lvlJc w:val="left"/>
      <w:pPr>
        <w:ind w:left="1440" w:hanging="360"/>
      </w:pPr>
    </w:lvl>
    <w:lvl w:ilvl="2" w:tplc="C554DE0C">
      <w:start w:val="1"/>
      <w:numFmt w:val="bullet"/>
      <w:lvlText w:val="■"/>
      <w:lvlJc w:val="left"/>
      <w:pPr>
        <w:ind w:left="2160" w:hanging="360"/>
      </w:pPr>
    </w:lvl>
    <w:lvl w:ilvl="3" w:tplc="107EFBDC">
      <w:start w:val="1"/>
      <w:numFmt w:val="bullet"/>
      <w:lvlText w:val="●"/>
      <w:lvlJc w:val="left"/>
      <w:pPr>
        <w:ind w:left="2880" w:hanging="360"/>
      </w:pPr>
    </w:lvl>
    <w:lvl w:ilvl="4" w:tplc="D4B0EC7E">
      <w:start w:val="1"/>
      <w:numFmt w:val="bullet"/>
      <w:lvlText w:val="○"/>
      <w:lvlJc w:val="left"/>
      <w:pPr>
        <w:ind w:left="3600" w:hanging="360"/>
      </w:pPr>
    </w:lvl>
    <w:lvl w:ilvl="5" w:tplc="4BC2C1FC">
      <w:start w:val="1"/>
      <w:numFmt w:val="bullet"/>
      <w:lvlText w:val="■"/>
      <w:lvlJc w:val="left"/>
      <w:pPr>
        <w:ind w:left="4320" w:hanging="360"/>
      </w:pPr>
    </w:lvl>
    <w:lvl w:ilvl="6" w:tplc="8BBE7610">
      <w:start w:val="1"/>
      <w:numFmt w:val="bullet"/>
      <w:lvlText w:val="●"/>
      <w:lvlJc w:val="left"/>
      <w:pPr>
        <w:ind w:left="5040" w:hanging="360"/>
      </w:pPr>
    </w:lvl>
    <w:lvl w:ilvl="7" w:tplc="BF164C08">
      <w:start w:val="1"/>
      <w:numFmt w:val="bullet"/>
      <w:lvlText w:val="●"/>
      <w:lvlJc w:val="left"/>
      <w:pPr>
        <w:ind w:left="5760" w:hanging="360"/>
      </w:pPr>
    </w:lvl>
    <w:lvl w:ilvl="8" w:tplc="61CE90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5B40D2"/>
    <w:multiLevelType w:val="hybridMultilevel"/>
    <w:tmpl w:val="CD9EC8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636"/>
    <w:rsid w:val="00206CD2"/>
    <w:rsid w:val="00221676"/>
    <w:rsid w:val="00281B50"/>
    <w:rsid w:val="002C106A"/>
    <w:rsid w:val="002F4636"/>
    <w:rsid w:val="003A5456"/>
    <w:rsid w:val="003F212D"/>
    <w:rsid w:val="004635C4"/>
    <w:rsid w:val="004638A4"/>
    <w:rsid w:val="004D5AC7"/>
    <w:rsid w:val="005D4AED"/>
    <w:rsid w:val="006C04B0"/>
    <w:rsid w:val="00706A35"/>
    <w:rsid w:val="007258A0"/>
    <w:rsid w:val="00741358"/>
    <w:rsid w:val="0077257B"/>
    <w:rsid w:val="00890227"/>
    <w:rsid w:val="008E0038"/>
    <w:rsid w:val="0096430D"/>
    <w:rsid w:val="0098110E"/>
    <w:rsid w:val="00A4405F"/>
    <w:rsid w:val="00AA3A34"/>
    <w:rsid w:val="00D50C75"/>
    <w:rsid w:val="00D52A82"/>
    <w:rsid w:val="00DD4E01"/>
    <w:rsid w:val="00E2121B"/>
    <w:rsid w:val="00E6769D"/>
    <w:rsid w:val="00E8580F"/>
    <w:rsid w:val="00E975A7"/>
    <w:rsid w:val="00F23798"/>
    <w:rsid w:val="00F43118"/>
    <w:rsid w:val="00FB533D"/>
    <w:rsid w:val="00FC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8F13F9"/>
  <w15:docId w15:val="{B193CC73-F2A4-441F-B34B-9F28F167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643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43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A0CB5-0F71-445A-B999-E0B5E88F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3515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Q3 2026 Appeals Analytical Report</vt:lpstr>
    </vt:vector>
  </TitlesOfParts>
  <Company>kbb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Аналитический отчёт по обращениям за III квартал 2026 года</dc:title>
  <dc:creator>JSC KDB Bank Uzbekistan</dc:creator>
  <cp:lastModifiedBy>Charos Mamatova</cp:lastModifiedBy>
  <cp:revision>2</cp:revision>
  <dcterms:created xsi:type="dcterms:W3CDTF">2026-10-13T06:15:00Z</dcterms:created>
  <dcterms:modified xsi:type="dcterms:W3CDTF">2026-10-13T06:15:00Z</dcterms:modified>
</cp:coreProperties>
</file>